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0B7F" w14:textId="202144CE" w:rsidR="00ED13A8" w:rsidRDefault="00CD4634" w:rsidP="003A4735">
      <w:pPr>
        <w:spacing w:after="0"/>
      </w:pPr>
      <w:r>
        <w:rPr>
          <w:noProof/>
          <w:snapToGrid/>
        </w:rPr>
        <w:drawing>
          <wp:inline distT="0" distB="0" distL="0" distR="0" wp14:anchorId="37595CCB" wp14:editId="7286F977">
            <wp:extent cx="1800000" cy="621006"/>
            <wp:effectExtent l="0" t="0" r="0" b="8255"/>
            <wp:docPr id="1439286064" name="Picture 1" descr="A green arrow and purpl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86064" name="Picture 1" descr="A green arrow and purple arr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621006"/>
                    </a:xfrm>
                    <a:prstGeom prst="rect">
                      <a:avLst/>
                    </a:prstGeom>
                  </pic:spPr>
                </pic:pic>
              </a:graphicData>
            </a:graphic>
          </wp:inline>
        </w:drawing>
      </w:r>
    </w:p>
    <w:p w14:paraId="1697F150" w14:textId="77777777" w:rsidR="004111AD" w:rsidRDefault="004111AD" w:rsidP="00887FF3">
      <w:pPr>
        <w:spacing w:after="0"/>
      </w:pPr>
    </w:p>
    <w:p w14:paraId="5E114C4C" w14:textId="77777777" w:rsidR="00887FF3" w:rsidRDefault="00887FF3" w:rsidP="00887FF3">
      <w:pPr>
        <w:spacing w:after="0"/>
      </w:pPr>
    </w:p>
    <w:p w14:paraId="242B9DB4" w14:textId="27E3BBF2" w:rsidR="00052FDE" w:rsidRPr="00735210" w:rsidRDefault="004171DE" w:rsidP="005B5EAA">
      <w:pPr>
        <w:pStyle w:val="Title"/>
        <w:spacing w:after="240"/>
      </w:pPr>
      <w:r>
        <w:t>E</w:t>
      </w:r>
      <w:r w:rsidR="006B3123">
        <w:t>ducational Oversight</w:t>
      </w:r>
      <w:r>
        <w:t xml:space="preserve"> Review</w:t>
      </w:r>
      <w:r w:rsidR="00052FDE" w:rsidRPr="00735210">
        <w:t xml:space="preserve"> </w:t>
      </w:r>
    </w:p>
    <w:p w14:paraId="5B480E5D" w14:textId="7ABE531A" w:rsidR="005F1A3F" w:rsidRPr="005B5EAA" w:rsidRDefault="00A96627" w:rsidP="70FB7DD3">
      <w:pPr>
        <w:pStyle w:val="Heading1"/>
        <w:rPr>
          <w:sz w:val="40"/>
          <w:szCs w:val="40"/>
        </w:rPr>
      </w:pPr>
      <w:r w:rsidRPr="005B5EAA">
        <w:rPr>
          <w:sz w:val="40"/>
          <w:szCs w:val="40"/>
        </w:rPr>
        <w:t>T</w:t>
      </w:r>
      <w:r w:rsidR="529A8E4F" w:rsidRPr="005B5EAA">
        <w:rPr>
          <w:sz w:val="40"/>
          <w:szCs w:val="40"/>
        </w:rPr>
        <w:t xml:space="preserve">emplate for a </w:t>
      </w:r>
      <w:r w:rsidR="00B21877">
        <w:rPr>
          <w:sz w:val="40"/>
          <w:szCs w:val="40"/>
        </w:rPr>
        <w:t>S</w:t>
      </w:r>
      <w:r w:rsidR="004171DE" w:rsidRPr="005B5EAA">
        <w:rPr>
          <w:sz w:val="40"/>
          <w:szCs w:val="40"/>
        </w:rPr>
        <w:t>elf-</w:t>
      </w:r>
      <w:r w:rsidR="00B21877">
        <w:rPr>
          <w:sz w:val="40"/>
          <w:szCs w:val="40"/>
        </w:rPr>
        <w:t>E</w:t>
      </w:r>
      <w:r w:rsidR="004171DE" w:rsidRPr="005B5EAA">
        <w:rPr>
          <w:sz w:val="40"/>
          <w:szCs w:val="40"/>
        </w:rPr>
        <w:t>valuation</w:t>
      </w:r>
      <w:r w:rsidR="00DE16B5" w:rsidRPr="005B5EAA">
        <w:rPr>
          <w:sz w:val="40"/>
          <w:szCs w:val="40"/>
        </w:rPr>
        <w:t xml:space="preserve"> </w:t>
      </w:r>
      <w:r w:rsidR="00B21877">
        <w:rPr>
          <w:sz w:val="40"/>
          <w:szCs w:val="40"/>
        </w:rPr>
        <w:t>D</w:t>
      </w:r>
      <w:r w:rsidR="00DE16B5" w:rsidRPr="005B5EAA">
        <w:rPr>
          <w:sz w:val="40"/>
          <w:szCs w:val="40"/>
        </w:rPr>
        <w:t>ocument</w:t>
      </w:r>
    </w:p>
    <w:p w14:paraId="4B07E650" w14:textId="698EFC47" w:rsidR="00AB3250" w:rsidRDefault="00905232" w:rsidP="00B07EF0">
      <w:pPr>
        <w:pStyle w:val="Heading1"/>
      </w:pPr>
      <w:r>
        <w:t xml:space="preserve">Introduction </w:t>
      </w:r>
    </w:p>
    <w:p w14:paraId="7F7BEC9A" w14:textId="1D6DAA4C" w:rsidR="009F7554" w:rsidRPr="00CC5F06" w:rsidRDefault="003A7AEE" w:rsidP="009F7554">
      <w:r w:rsidRPr="00CC5F06">
        <w:t xml:space="preserve">A self-evaluation document </w:t>
      </w:r>
      <w:r w:rsidR="0051142F" w:rsidRPr="00CC5F06">
        <w:t>with</w:t>
      </w:r>
      <w:r w:rsidRPr="00CC5F06">
        <w:t xml:space="preserve"> supporting evidence (collectively referred to as </w:t>
      </w:r>
      <w:r w:rsidR="001E4F5C">
        <w:t>'</w:t>
      </w:r>
      <w:r w:rsidR="0051142F" w:rsidRPr="00CC5F06">
        <w:t>the submission</w:t>
      </w:r>
      <w:r w:rsidR="001E4F5C">
        <w:t>'</w:t>
      </w:r>
      <w:r w:rsidR="0051142F" w:rsidRPr="00CC5F06">
        <w:t xml:space="preserve">) is </w:t>
      </w:r>
      <w:r w:rsidR="007A2987" w:rsidRPr="00CC5F06">
        <w:t>the starting point for a</w:t>
      </w:r>
      <w:r w:rsidR="00CD7B8E" w:rsidRPr="00CC5F06">
        <w:t>n E</w:t>
      </w:r>
      <w:r w:rsidR="006B3123" w:rsidRPr="00CC5F06">
        <w:t>ducational Oversight</w:t>
      </w:r>
      <w:r w:rsidR="00CD7B8E" w:rsidRPr="00CC5F06">
        <w:t xml:space="preserve"> Review.</w:t>
      </w:r>
      <w:r w:rsidR="00E02554" w:rsidRPr="00CC5F06">
        <w:t xml:space="preserve"> This document provides </w:t>
      </w:r>
      <w:r w:rsidR="009647B5" w:rsidRPr="00CC5F06">
        <w:t>the recommended</w:t>
      </w:r>
      <w:r w:rsidR="00E02554" w:rsidRPr="00CC5F06">
        <w:t xml:space="preserve"> template for </w:t>
      </w:r>
      <w:r w:rsidR="00B64F1C" w:rsidRPr="00CC5F06">
        <w:t>a</w:t>
      </w:r>
      <w:r w:rsidR="00E02554" w:rsidRPr="00CC5F06">
        <w:t xml:space="preserve"> self-evaluation and </w:t>
      </w:r>
      <w:r w:rsidR="009647B5" w:rsidRPr="00CC5F06">
        <w:t xml:space="preserve">includes indicative information on </w:t>
      </w:r>
      <w:r w:rsidR="00B64F1C" w:rsidRPr="00CC5F06">
        <w:t xml:space="preserve">the </w:t>
      </w:r>
      <w:r w:rsidR="002B1B45" w:rsidRPr="00CC5F06">
        <w:t>evidence t</w:t>
      </w:r>
      <w:r w:rsidR="00B64F1C" w:rsidRPr="00CC5F06">
        <w:t xml:space="preserve">hat might be suitable to support your claim.  </w:t>
      </w:r>
      <w:r w:rsidR="00763087" w:rsidRPr="00CC5F06">
        <w:t xml:space="preserve"> </w:t>
      </w:r>
      <w:r w:rsidR="0051142F" w:rsidRPr="00CC5F06">
        <w:t xml:space="preserve"> </w:t>
      </w:r>
    </w:p>
    <w:p w14:paraId="103BFA5A" w14:textId="6214A670" w:rsidR="008F7EAF" w:rsidRPr="00CC5F06" w:rsidRDefault="00473AAC" w:rsidP="00BC584F">
      <w:r w:rsidRPr="00CC5F06">
        <w:t xml:space="preserve">This </w:t>
      </w:r>
      <w:r w:rsidR="009F7554" w:rsidRPr="00CC5F06">
        <w:t>self-evaluation template</w:t>
      </w:r>
      <w:r w:rsidRPr="00CC5F06">
        <w:t xml:space="preserve"> fulfils two purposes - it allows you to outline the evidence you are providing to support your </w:t>
      </w:r>
      <w:r w:rsidR="00CE407D" w:rsidRPr="00CC5F06">
        <w:t xml:space="preserve">claim </w:t>
      </w:r>
      <w:r w:rsidRPr="00CC5F06">
        <w:t xml:space="preserve">that you </w:t>
      </w:r>
      <w:r w:rsidR="00CB45BA" w:rsidRPr="00CC5F06">
        <w:t>adhere to the UK Quality Code for Higher Education 2024 Sector-Agreed Principles</w:t>
      </w:r>
      <w:r w:rsidRPr="00CC5F06">
        <w:t xml:space="preserve">, and it allows you to briefly explain why you consider that this evidence demonstrates that the </w:t>
      </w:r>
      <w:r w:rsidR="00CB45BA" w:rsidRPr="00CC5F06">
        <w:t>Sector-Agreed Principles</w:t>
      </w:r>
      <w:r w:rsidR="00CE407D" w:rsidRPr="00CC5F06">
        <w:t xml:space="preserve"> are met</w:t>
      </w:r>
      <w:r w:rsidR="00673CB5" w:rsidRPr="00CC5F06">
        <w:t>.</w:t>
      </w:r>
      <w:r w:rsidR="00272DE2" w:rsidRPr="00CC5F06">
        <w:t xml:space="preserve"> It also allows you to present </w:t>
      </w:r>
      <w:r w:rsidR="00CB45BA" w:rsidRPr="00CC5F06">
        <w:t xml:space="preserve">examples of </w:t>
      </w:r>
      <w:r w:rsidR="00272DE2" w:rsidRPr="00CC5F06">
        <w:t xml:space="preserve">enhancement </w:t>
      </w:r>
      <w:r w:rsidR="00CB45BA" w:rsidRPr="00CC5F06">
        <w:t xml:space="preserve">that you have undertaken </w:t>
      </w:r>
      <w:proofErr w:type="gramStart"/>
      <w:r w:rsidR="00CB45BA" w:rsidRPr="00CC5F06">
        <w:t>with regard to</w:t>
      </w:r>
      <w:proofErr w:type="gramEnd"/>
      <w:r w:rsidR="00CB45BA" w:rsidRPr="00CC5F06">
        <w:t xml:space="preserve"> your higher education provision</w:t>
      </w:r>
      <w:r w:rsidR="0022652E">
        <w:t>,</w:t>
      </w:r>
      <w:r w:rsidR="00272DE2" w:rsidRPr="00CC5F06">
        <w:t xml:space="preserve"> along with the supporting evidence that you consider </w:t>
      </w:r>
      <w:r w:rsidR="00250E0B" w:rsidRPr="00CC5F06">
        <w:t>demonstrate</w:t>
      </w:r>
      <w:r w:rsidR="000774F4" w:rsidRPr="00CC5F06">
        <w:t>s</w:t>
      </w:r>
      <w:r w:rsidR="00250E0B" w:rsidRPr="00CC5F06">
        <w:t xml:space="preserve"> </w:t>
      </w:r>
      <w:r w:rsidR="000774F4" w:rsidRPr="00CC5F06">
        <w:t xml:space="preserve">that </w:t>
      </w:r>
      <w:r w:rsidR="00250E0B" w:rsidRPr="00CC5F06">
        <w:t xml:space="preserve">these </w:t>
      </w:r>
      <w:r w:rsidR="000774F4" w:rsidRPr="00CC5F06">
        <w:t>represent</w:t>
      </w:r>
      <w:r w:rsidR="00250E0B" w:rsidRPr="00CC5F06">
        <w:t xml:space="preserve"> good practice. </w:t>
      </w:r>
      <w:r w:rsidR="0082376D" w:rsidRPr="00CC5F06">
        <w:t xml:space="preserve">The </w:t>
      </w:r>
      <w:r w:rsidR="00C9673A" w:rsidRPr="00CC5F06">
        <w:t xml:space="preserve">self-evaluation template </w:t>
      </w:r>
      <w:r w:rsidR="0082376D" w:rsidRPr="00CC5F06">
        <w:t xml:space="preserve">should be </w:t>
      </w:r>
      <w:r w:rsidR="0082376D">
        <w:t xml:space="preserve">read in conjunction with the </w:t>
      </w:r>
      <w:hyperlink r:id="rId9" w:history="1">
        <w:r w:rsidR="00CB45BA">
          <w:rPr>
            <w:color w:val="0000FF"/>
            <w:u w:val="single"/>
          </w:rPr>
          <w:t>Educational Oversight Review: Guidance for Providers</w:t>
        </w:r>
      </w:hyperlink>
      <w:r w:rsidR="00777266">
        <w:t xml:space="preserve">, </w:t>
      </w:r>
      <w:r w:rsidR="00AC1FEE" w:rsidRPr="00CC5F06">
        <w:t xml:space="preserve">particularly paragraphs </w:t>
      </w:r>
      <w:r w:rsidR="00B560DC" w:rsidRPr="00CC5F06">
        <w:t>6</w:t>
      </w:r>
      <w:r w:rsidR="00D64ACF" w:rsidRPr="00CC5F06">
        <w:t>2</w:t>
      </w:r>
      <w:r w:rsidR="00AC1FEE" w:rsidRPr="00CC5F06">
        <w:t>-6</w:t>
      </w:r>
      <w:r w:rsidR="00D513A1" w:rsidRPr="00CC5F06">
        <w:t>5</w:t>
      </w:r>
      <w:r w:rsidR="005259FE" w:rsidRPr="00CC5F06">
        <w:t xml:space="preserve">. </w:t>
      </w:r>
    </w:p>
    <w:p w14:paraId="3E2FA9A7" w14:textId="1B40C840" w:rsidR="00A03503" w:rsidRPr="00CC5F06" w:rsidRDefault="000B124D" w:rsidP="00BC584F">
      <w:r>
        <w:t xml:space="preserve">The review team will use your self-evaluation document to guide its work in analysing </w:t>
      </w:r>
      <w:r w:rsidR="00D6053D">
        <w:t xml:space="preserve">your claims against the evidence provided and </w:t>
      </w:r>
      <w:r w:rsidR="003D74A6">
        <w:t>in identifying further information that it need</w:t>
      </w:r>
      <w:r w:rsidR="005E2752">
        <w:t xml:space="preserve">s to come to a </w:t>
      </w:r>
      <w:r w:rsidR="003D74A6">
        <w:t xml:space="preserve">secure judgement </w:t>
      </w:r>
      <w:r w:rsidR="00DF3D2E">
        <w:t>on</w:t>
      </w:r>
      <w:r w:rsidR="005E2752">
        <w:t xml:space="preserve"> whether </w:t>
      </w:r>
      <w:r w:rsidR="004F716C">
        <w:t>the institution</w:t>
      </w:r>
      <w:r w:rsidR="005E2752">
        <w:t xml:space="preserve"> meet</w:t>
      </w:r>
      <w:r w:rsidR="004F716C">
        <w:t>s</w:t>
      </w:r>
      <w:r w:rsidR="005E2752">
        <w:t xml:space="preserve"> each </w:t>
      </w:r>
      <w:r w:rsidR="005E2752" w:rsidRPr="00CC5F06">
        <w:t>S</w:t>
      </w:r>
      <w:r w:rsidR="00425981" w:rsidRPr="00CC5F06">
        <w:t>ector-Agreed Principle</w:t>
      </w:r>
      <w:r w:rsidR="00DF3D2E" w:rsidRPr="00CC5F06">
        <w:t xml:space="preserve">. </w:t>
      </w:r>
      <w:bookmarkStart w:id="0" w:name="_Toc57044598"/>
      <w:bookmarkStart w:id="1" w:name="_Toc51742222"/>
      <w:r w:rsidR="00A03503" w:rsidRPr="00CC5F06">
        <w:t xml:space="preserve">While this </w:t>
      </w:r>
      <w:r w:rsidR="001B76C2" w:rsidRPr="00CC5F06">
        <w:t xml:space="preserve">self-evaluation </w:t>
      </w:r>
      <w:r w:rsidR="00A03503" w:rsidRPr="00CC5F06">
        <w:t xml:space="preserve">document </w:t>
      </w:r>
      <w:r w:rsidR="001B76C2" w:rsidRPr="00CC5F06">
        <w:t xml:space="preserve">and supporting evidence </w:t>
      </w:r>
      <w:r w:rsidR="00A03503" w:rsidRPr="00CC5F06">
        <w:t>will help the team form its</w:t>
      </w:r>
      <w:r w:rsidR="00DF3D2E" w:rsidRPr="00CC5F06">
        <w:t xml:space="preserve"> </w:t>
      </w:r>
      <w:r w:rsidR="00A03503" w:rsidRPr="00CC5F06">
        <w:t xml:space="preserve">judgements, the team </w:t>
      </w:r>
      <w:r w:rsidR="00946030">
        <w:t>is</w:t>
      </w:r>
      <w:r w:rsidR="00A569DC" w:rsidRPr="00CC5F06">
        <w:t xml:space="preserve"> likely to</w:t>
      </w:r>
      <w:r w:rsidR="00A03503" w:rsidRPr="00CC5F06">
        <w:t xml:space="preserve"> request other evidence and may ask specific questions - interrogating the evidence submitted to </w:t>
      </w:r>
      <w:r w:rsidR="00A577ED" w:rsidRPr="00CC5F06">
        <w:t>reach conclusions</w:t>
      </w:r>
      <w:r w:rsidR="00A03503" w:rsidRPr="00CC5F06">
        <w:t xml:space="preserve">. </w:t>
      </w:r>
      <w:bookmarkEnd w:id="0"/>
      <w:bookmarkEnd w:id="1"/>
      <w:r w:rsidR="00A03503" w:rsidRPr="00CC5F06">
        <w:t xml:space="preserve">Requests may vary </w:t>
      </w:r>
      <w:r w:rsidR="0082376D" w:rsidRPr="00CC5F06">
        <w:t xml:space="preserve">between </w:t>
      </w:r>
      <w:r w:rsidR="009F3CA0" w:rsidRPr="00CC5F06">
        <w:t>providers</w:t>
      </w:r>
      <w:r w:rsidR="00A03503" w:rsidRPr="00CC5F06">
        <w:t xml:space="preserve">, as the </w:t>
      </w:r>
      <w:r w:rsidR="00801D2F" w:rsidRPr="00CC5F06">
        <w:t>Sector-Agreed Principle</w:t>
      </w:r>
      <w:r w:rsidR="002A2622" w:rsidRPr="00CC5F06">
        <w:t>s</w:t>
      </w:r>
      <w:r w:rsidR="00A03503" w:rsidRPr="00CC5F06">
        <w:t xml:space="preserve"> might be met in a wide variety of ways depending on th</w:t>
      </w:r>
      <w:r w:rsidR="002207E2" w:rsidRPr="00CC5F06">
        <w:t>e</w:t>
      </w:r>
      <w:r w:rsidR="00A03503" w:rsidRPr="00CC5F06">
        <w:t xml:space="preserve"> context and courses</w:t>
      </w:r>
      <w:r w:rsidR="002207E2" w:rsidRPr="00CC5F06">
        <w:t xml:space="preserve"> or individual providers</w:t>
      </w:r>
      <w:r w:rsidR="00A03503" w:rsidRPr="00CC5F06">
        <w:t>.</w:t>
      </w:r>
    </w:p>
    <w:p w14:paraId="58124203" w14:textId="263CFD03" w:rsidR="00BE77A0" w:rsidRDefault="00201248" w:rsidP="00201248">
      <w:pPr>
        <w:pStyle w:val="QAAnormal"/>
        <w:rPr>
          <w:noProof w:val="0"/>
        </w:rPr>
      </w:pPr>
      <w:r w:rsidRPr="00CC5F06">
        <w:rPr>
          <w:b/>
          <w:bCs/>
        </w:rPr>
        <w:t>IMPORTANT</w:t>
      </w:r>
      <w:r w:rsidRPr="00CC5F06">
        <w:rPr>
          <w:noProof w:val="0"/>
        </w:rPr>
        <w:t>: It is for you to decide what evidence</w:t>
      </w:r>
      <w:r w:rsidR="008F366D" w:rsidRPr="00CC5F06">
        <w:rPr>
          <w:noProof w:val="0"/>
        </w:rPr>
        <w:t xml:space="preserve"> </w:t>
      </w:r>
      <w:r w:rsidR="0035041B" w:rsidRPr="00CC5F06">
        <w:rPr>
          <w:noProof w:val="0"/>
        </w:rPr>
        <w:t>you wish to include as</w:t>
      </w:r>
      <w:r w:rsidR="005C398A" w:rsidRPr="00CC5F06">
        <w:rPr>
          <w:noProof w:val="0"/>
        </w:rPr>
        <w:t xml:space="preserve"> part of your initial submission</w:t>
      </w:r>
      <w:r w:rsidRPr="00CC5F06">
        <w:rPr>
          <w:noProof w:val="0"/>
        </w:rPr>
        <w:t xml:space="preserve">. </w:t>
      </w:r>
      <w:r w:rsidRPr="00CC5F06">
        <w:t xml:space="preserve">There are many ways </w:t>
      </w:r>
      <w:r w:rsidR="5B8D1D4A" w:rsidRPr="00CC5F06">
        <w:t>you</w:t>
      </w:r>
      <w:r w:rsidRPr="00CC5F06">
        <w:t xml:space="preserve"> can meet the </w:t>
      </w:r>
      <w:r w:rsidR="005541BF" w:rsidRPr="00CC5F06">
        <w:t>Sector-Agreed Principle</w:t>
      </w:r>
      <w:r w:rsidR="00382AC2" w:rsidRPr="00CC5F06">
        <w:t>s</w:t>
      </w:r>
      <w:r w:rsidR="005541BF" w:rsidRPr="00CC5F06">
        <w:t xml:space="preserve"> </w:t>
      </w:r>
      <w:r w:rsidRPr="00CC5F06">
        <w:t xml:space="preserve">and the review team will not have a pre-determined view </w:t>
      </w:r>
      <w:r w:rsidR="005C398A" w:rsidRPr="00CC5F06">
        <w:t>on</w:t>
      </w:r>
      <w:r w:rsidRPr="00CC5F06">
        <w:t xml:space="preserve"> how a provider should operate, what individual pieces of evidence are required or what these need to contain. In selecting the information that you consider best demonstrates alignment with the </w:t>
      </w:r>
      <w:r w:rsidR="00A263DF" w:rsidRPr="00CC5F06">
        <w:t xml:space="preserve">Sector-Agreed Principles, </w:t>
      </w:r>
      <w:r w:rsidRPr="00CC5F06">
        <w:t xml:space="preserve">you are evaluating your quality assurance approach and the evidence that </w:t>
      </w:r>
      <w:r>
        <w:t xml:space="preserve">is generated from your quality assurance activities. </w:t>
      </w:r>
      <w:r w:rsidR="00610106">
        <w:t>It is not the responsi</w:t>
      </w:r>
      <w:r w:rsidR="00765829">
        <w:t xml:space="preserve">bility of the review team to seek out the evidence needed, but for you to select evidence that </w:t>
      </w:r>
      <w:r w:rsidR="00C13A5E">
        <w:t xml:space="preserve">best </w:t>
      </w:r>
      <w:r w:rsidR="00765829">
        <w:t>illustrates</w:t>
      </w:r>
      <w:r w:rsidR="00214245">
        <w:t xml:space="preserve"> and substantiates your claims.  </w:t>
      </w:r>
      <w:r w:rsidR="00E30CB3">
        <w:rPr>
          <w:noProof w:val="0"/>
        </w:rPr>
        <w:t xml:space="preserve">  </w:t>
      </w:r>
    </w:p>
    <w:p w14:paraId="3EB3DD01" w14:textId="77777777" w:rsidR="008D031A" w:rsidRDefault="008D031A">
      <w:pPr>
        <w:widowControl/>
        <w:spacing w:after="0"/>
      </w:pPr>
    </w:p>
    <w:p w14:paraId="452C1EDA" w14:textId="77777777" w:rsidR="00FB37F5" w:rsidRDefault="00FB37F5">
      <w:pPr>
        <w:widowControl/>
        <w:spacing w:after="0"/>
        <w:rPr>
          <w:b/>
          <w:color w:val="56AF34"/>
          <w:sz w:val="28"/>
        </w:rPr>
      </w:pPr>
      <w:r>
        <w:br w:type="page"/>
      </w:r>
    </w:p>
    <w:p w14:paraId="5D60655D" w14:textId="6D6B370F" w:rsidR="007975DB" w:rsidRPr="007975DB" w:rsidRDefault="007975DB" w:rsidP="00B07EF0">
      <w:pPr>
        <w:pStyle w:val="Heading1"/>
      </w:pPr>
      <w:r w:rsidRPr="00E4138C">
        <w:lastRenderedPageBreak/>
        <w:t xml:space="preserve">How to complete </w:t>
      </w:r>
      <w:r w:rsidR="002B62F9" w:rsidRPr="00E4138C">
        <w:t>this template</w:t>
      </w:r>
    </w:p>
    <w:p w14:paraId="48BDFE19" w14:textId="77777777" w:rsidR="00B07EF0" w:rsidRDefault="00150A17" w:rsidP="005D52FE">
      <w:pPr>
        <w:pStyle w:val="Heading2"/>
      </w:pPr>
      <w:r w:rsidRPr="003D1E7D">
        <w:t>Section 1</w:t>
      </w:r>
      <w:r>
        <w:t xml:space="preserve"> </w:t>
      </w:r>
    </w:p>
    <w:p w14:paraId="72F7DB8B" w14:textId="5A187801" w:rsidR="00BB663F" w:rsidRDefault="00440FB5" w:rsidP="0049651E">
      <w:pPr>
        <w:pStyle w:val="QAAnormal"/>
        <w:rPr>
          <w:noProof w:val="0"/>
        </w:rPr>
      </w:pPr>
      <w:r>
        <w:rPr>
          <w:noProof w:val="0"/>
        </w:rPr>
        <w:t xml:space="preserve">Section 1 </w:t>
      </w:r>
      <w:r w:rsidR="00150A17">
        <w:rPr>
          <w:noProof w:val="0"/>
        </w:rPr>
        <w:t xml:space="preserve">requires a concise overview of your institution that enables the review team to understand your </w:t>
      </w:r>
      <w:proofErr w:type="gramStart"/>
      <w:r w:rsidR="006B33A4">
        <w:rPr>
          <w:noProof w:val="0"/>
        </w:rPr>
        <w:t>particular context</w:t>
      </w:r>
      <w:proofErr w:type="gramEnd"/>
      <w:r w:rsidR="006B33A4">
        <w:rPr>
          <w:noProof w:val="0"/>
        </w:rPr>
        <w:t xml:space="preserve">, approach, challenges and responsibilities. </w:t>
      </w:r>
      <w:r w:rsidR="00150A17">
        <w:rPr>
          <w:noProof w:val="0"/>
        </w:rPr>
        <w:t>Note that</w:t>
      </w:r>
      <w:r w:rsidR="00214236">
        <w:rPr>
          <w:noProof w:val="0"/>
        </w:rPr>
        <w:t>,</w:t>
      </w:r>
      <w:r w:rsidR="00150A17">
        <w:rPr>
          <w:noProof w:val="0"/>
        </w:rPr>
        <w:t xml:space="preserve"> </w:t>
      </w:r>
      <w:r w:rsidR="003204D2">
        <w:rPr>
          <w:noProof w:val="0"/>
        </w:rPr>
        <w:t>in this section, as in other</w:t>
      </w:r>
      <w:r w:rsidR="001E2F16">
        <w:rPr>
          <w:noProof w:val="0"/>
        </w:rPr>
        <w:t xml:space="preserve"> sections of this document</w:t>
      </w:r>
      <w:r w:rsidR="003204D2">
        <w:rPr>
          <w:noProof w:val="0"/>
        </w:rPr>
        <w:t xml:space="preserve">, </w:t>
      </w:r>
      <w:r w:rsidR="00150A17">
        <w:rPr>
          <w:noProof w:val="0"/>
        </w:rPr>
        <w:t>it is no</w:t>
      </w:r>
      <w:r w:rsidR="003204D2">
        <w:rPr>
          <w:noProof w:val="0"/>
        </w:rPr>
        <w:t>t</w:t>
      </w:r>
      <w:r w:rsidR="00150A17">
        <w:rPr>
          <w:noProof w:val="0"/>
        </w:rPr>
        <w:t xml:space="preserve"> necessary to describe your processes in detail, particularly where the detail is available</w:t>
      </w:r>
      <w:r w:rsidR="00C10BC1">
        <w:rPr>
          <w:noProof w:val="0"/>
        </w:rPr>
        <w:t xml:space="preserve"> in the supporting documentation that you submit. Instead</w:t>
      </w:r>
      <w:r w:rsidR="005273C2">
        <w:rPr>
          <w:noProof w:val="0"/>
        </w:rPr>
        <w:t>,</w:t>
      </w:r>
      <w:r w:rsidR="00C10BC1">
        <w:rPr>
          <w:noProof w:val="0"/>
        </w:rPr>
        <w:t xml:space="preserve"> you should provide a </w:t>
      </w:r>
      <w:r w:rsidR="00410A24">
        <w:rPr>
          <w:noProof w:val="0"/>
        </w:rPr>
        <w:t>high-level</w:t>
      </w:r>
      <w:r w:rsidR="00C10BC1">
        <w:rPr>
          <w:noProof w:val="0"/>
        </w:rPr>
        <w:t xml:space="preserve"> overview and direct the review team to the documents </w:t>
      </w:r>
      <w:r w:rsidR="0048267A">
        <w:rPr>
          <w:noProof w:val="0"/>
        </w:rPr>
        <w:t xml:space="preserve">that provide further detail </w:t>
      </w:r>
      <w:proofErr w:type="gramStart"/>
      <w:r w:rsidR="0048267A">
        <w:rPr>
          <w:noProof w:val="0"/>
        </w:rPr>
        <w:t xml:space="preserve">in order </w:t>
      </w:r>
      <w:r w:rsidR="00F91C23">
        <w:rPr>
          <w:noProof w:val="0"/>
        </w:rPr>
        <w:t>to</w:t>
      </w:r>
      <w:proofErr w:type="gramEnd"/>
      <w:r w:rsidR="00F91C23">
        <w:rPr>
          <w:noProof w:val="0"/>
        </w:rPr>
        <w:t xml:space="preserve"> avoid repetition o</w:t>
      </w:r>
      <w:r w:rsidR="00A72BD9">
        <w:rPr>
          <w:noProof w:val="0"/>
        </w:rPr>
        <w:t xml:space="preserve">r duplication of </w:t>
      </w:r>
      <w:r w:rsidR="00BB663F">
        <w:rPr>
          <w:noProof w:val="0"/>
        </w:rPr>
        <w:t>material.</w:t>
      </w:r>
    </w:p>
    <w:p w14:paraId="1E510886" w14:textId="77777777" w:rsidR="00BB663F" w:rsidRDefault="00BB663F" w:rsidP="0049651E">
      <w:pPr>
        <w:pStyle w:val="QAAnormal"/>
        <w:rPr>
          <w:noProof w:val="0"/>
        </w:rPr>
      </w:pPr>
    </w:p>
    <w:p w14:paraId="7B3B747A" w14:textId="225038A4" w:rsidR="00440FB5" w:rsidRPr="00440FB5" w:rsidRDefault="00BB663F" w:rsidP="005D52FE">
      <w:pPr>
        <w:pStyle w:val="Heading2"/>
      </w:pPr>
      <w:r w:rsidRPr="00440FB5">
        <w:t xml:space="preserve">Section 2 </w:t>
      </w:r>
    </w:p>
    <w:p w14:paraId="58A030B3" w14:textId="147C436E" w:rsidR="003D1E7D" w:rsidRDefault="00440FB5" w:rsidP="0049651E">
      <w:pPr>
        <w:pStyle w:val="QAAnormal"/>
        <w:rPr>
          <w:noProof w:val="0"/>
        </w:rPr>
      </w:pPr>
      <w:r>
        <w:rPr>
          <w:noProof w:val="0"/>
        </w:rPr>
        <w:t>In Section 2</w:t>
      </w:r>
      <w:r w:rsidR="00795ACD">
        <w:rPr>
          <w:noProof w:val="0"/>
        </w:rPr>
        <w:t>,</w:t>
      </w:r>
      <w:r>
        <w:rPr>
          <w:noProof w:val="0"/>
        </w:rPr>
        <w:t xml:space="preserve"> </w:t>
      </w:r>
      <w:r w:rsidR="00BB663F" w:rsidRPr="00945742">
        <w:rPr>
          <w:noProof w:val="0"/>
        </w:rPr>
        <w:t xml:space="preserve">you should </w:t>
      </w:r>
      <w:r w:rsidR="00B95015" w:rsidRPr="00945742">
        <w:rPr>
          <w:noProof w:val="0"/>
        </w:rPr>
        <w:t xml:space="preserve">use </w:t>
      </w:r>
      <w:r w:rsidR="00795ACD">
        <w:rPr>
          <w:noProof w:val="0"/>
        </w:rPr>
        <w:t>P</w:t>
      </w:r>
      <w:r w:rsidR="00025C3A" w:rsidRPr="00945742">
        <w:rPr>
          <w:noProof w:val="0"/>
        </w:rPr>
        <w:t>art 1</w:t>
      </w:r>
      <w:r w:rsidR="00B95015" w:rsidRPr="00945742">
        <w:t xml:space="preserve"> </w:t>
      </w:r>
      <w:r w:rsidR="00B95015" w:rsidRPr="00945742">
        <w:rPr>
          <w:noProof w:val="0"/>
        </w:rPr>
        <w:t xml:space="preserve">to </w:t>
      </w:r>
      <w:r w:rsidR="00B533EF" w:rsidRPr="00945742">
        <w:rPr>
          <w:noProof w:val="0"/>
        </w:rPr>
        <w:t xml:space="preserve">list the key documents in your submission that are relevant to demonstrating </w:t>
      </w:r>
      <w:r w:rsidR="002156A1" w:rsidRPr="00945742">
        <w:rPr>
          <w:noProof w:val="0"/>
        </w:rPr>
        <w:t>adherence</w:t>
      </w:r>
      <w:r w:rsidR="00C46741" w:rsidRPr="00945742">
        <w:rPr>
          <w:noProof w:val="0"/>
        </w:rPr>
        <w:t xml:space="preserve"> to the</w:t>
      </w:r>
      <w:r w:rsidR="00B533EF" w:rsidRPr="00945742">
        <w:rPr>
          <w:noProof w:val="0"/>
        </w:rPr>
        <w:t xml:space="preserve"> </w:t>
      </w:r>
      <w:r w:rsidR="005273C2" w:rsidRPr="00945742">
        <w:rPr>
          <w:noProof w:val="0"/>
        </w:rPr>
        <w:t>Sector-</w:t>
      </w:r>
      <w:r w:rsidR="00350CD2">
        <w:t>Agreed</w:t>
      </w:r>
      <w:r w:rsidR="005273C2" w:rsidRPr="00945742">
        <w:rPr>
          <w:noProof w:val="0"/>
        </w:rPr>
        <w:t xml:space="preserve"> </w:t>
      </w:r>
      <w:r w:rsidR="00D41CAA" w:rsidRPr="00945742">
        <w:rPr>
          <w:noProof w:val="0"/>
        </w:rPr>
        <w:t>Principle</w:t>
      </w:r>
      <w:r w:rsidR="002156A1" w:rsidRPr="00945742">
        <w:rPr>
          <w:noProof w:val="0"/>
        </w:rPr>
        <w:t>.</w:t>
      </w:r>
      <w:r w:rsidR="00B533EF" w:rsidRPr="00945742">
        <w:rPr>
          <w:noProof w:val="0"/>
        </w:rPr>
        <w:t xml:space="preserve"> Use </w:t>
      </w:r>
      <w:r w:rsidR="00795ACD">
        <w:rPr>
          <w:noProof w:val="0"/>
        </w:rPr>
        <w:t>P</w:t>
      </w:r>
      <w:r w:rsidR="003141CB" w:rsidRPr="00945742">
        <w:rPr>
          <w:noProof w:val="0"/>
        </w:rPr>
        <w:t>art 2</w:t>
      </w:r>
      <w:r w:rsidR="00B533EF" w:rsidRPr="00945742">
        <w:t xml:space="preserve"> </w:t>
      </w:r>
      <w:r w:rsidR="00B533EF" w:rsidRPr="00945742">
        <w:rPr>
          <w:noProof w:val="0"/>
        </w:rPr>
        <w:t>to explain</w:t>
      </w:r>
      <w:r w:rsidR="0026487A" w:rsidRPr="00945742">
        <w:rPr>
          <w:noProof w:val="0"/>
        </w:rPr>
        <w:t>,</w:t>
      </w:r>
      <w:r w:rsidR="00B533EF" w:rsidRPr="00945742">
        <w:rPr>
          <w:noProof w:val="0"/>
        </w:rPr>
        <w:t xml:space="preserve"> </w:t>
      </w:r>
      <w:r w:rsidR="003C5338" w:rsidRPr="00945742">
        <w:rPr>
          <w:noProof w:val="0"/>
        </w:rPr>
        <w:t>for each document</w:t>
      </w:r>
      <w:r w:rsidR="0026487A" w:rsidRPr="00945742">
        <w:rPr>
          <w:noProof w:val="0"/>
        </w:rPr>
        <w:t>,</w:t>
      </w:r>
      <w:r w:rsidR="003C5338" w:rsidRPr="00945742">
        <w:rPr>
          <w:noProof w:val="0"/>
        </w:rPr>
        <w:t xml:space="preserve"> </w:t>
      </w:r>
      <w:r w:rsidR="0026487A" w:rsidRPr="00945742">
        <w:rPr>
          <w:noProof w:val="0"/>
        </w:rPr>
        <w:t xml:space="preserve">how the document contributes to demonstrating </w:t>
      </w:r>
      <w:r w:rsidR="00F83F33" w:rsidRPr="00945742">
        <w:rPr>
          <w:noProof w:val="0"/>
        </w:rPr>
        <w:t xml:space="preserve">adherence to </w:t>
      </w:r>
      <w:r w:rsidR="0026487A" w:rsidRPr="00945742">
        <w:rPr>
          <w:noProof w:val="0"/>
        </w:rPr>
        <w:t xml:space="preserve">the </w:t>
      </w:r>
      <w:r w:rsidR="00D41CAA" w:rsidRPr="00945742">
        <w:rPr>
          <w:noProof w:val="0"/>
        </w:rPr>
        <w:t>Sector-</w:t>
      </w:r>
      <w:r w:rsidR="00A6581D">
        <w:t>Agreed</w:t>
      </w:r>
      <w:r w:rsidR="00D41CAA" w:rsidRPr="00945742">
        <w:rPr>
          <w:noProof w:val="0"/>
        </w:rPr>
        <w:t xml:space="preserve"> Principle</w:t>
      </w:r>
      <w:r w:rsidR="0026487A" w:rsidRPr="00945742">
        <w:rPr>
          <w:noProof w:val="0"/>
        </w:rPr>
        <w:t xml:space="preserve">. </w:t>
      </w:r>
      <w:r w:rsidR="00A67A47" w:rsidRPr="00945742">
        <w:rPr>
          <w:noProof w:val="0"/>
        </w:rPr>
        <w:t xml:space="preserve">You should also include </w:t>
      </w:r>
      <w:r w:rsidR="00CA1CF2" w:rsidRPr="00945742">
        <w:t>examples of enhancement (defined as</w:t>
      </w:r>
      <w:r w:rsidR="0082052A">
        <w:t>:</w:t>
      </w:r>
      <w:r w:rsidR="00CA1CF2" w:rsidRPr="00945742">
        <w:t xml:space="preserve"> </w:t>
      </w:r>
      <w:r w:rsidR="00CA1CF2" w:rsidRPr="00DA2EE7">
        <w:rPr>
          <w:i/>
          <w:iCs/>
        </w:rPr>
        <w:t>using evidence to plan, implement and evaluate de</w:t>
      </w:r>
      <w:r w:rsidR="00A67A47" w:rsidRPr="00DA2EE7">
        <w:rPr>
          <w:i/>
          <w:iCs/>
        </w:rPr>
        <w:t>liberate steps intended to improve the student learning experience</w:t>
      </w:r>
      <w:r w:rsidR="00A67A47" w:rsidRPr="00945742">
        <w:t xml:space="preserve">) </w:t>
      </w:r>
      <w:r w:rsidR="00CA1CF2" w:rsidRPr="00945742">
        <w:t>that you have undertaken with regard to your higher education provision.</w:t>
      </w:r>
      <w:r w:rsidR="00A67A47" w:rsidRPr="00945742">
        <w:t xml:space="preserve"> Your strategic intentions and plans for enhancement, reflecting the diversity of your provision (</w:t>
      </w:r>
      <w:r w:rsidR="004A4374" w:rsidRPr="00945742">
        <w:t xml:space="preserve">reflected in </w:t>
      </w:r>
      <w:r w:rsidR="008378C0" w:rsidRPr="00945742">
        <w:t xml:space="preserve">the </w:t>
      </w:r>
      <w:r w:rsidR="00A67A47" w:rsidRPr="00945742">
        <w:t xml:space="preserve">student population, location, modes and levels of study) </w:t>
      </w:r>
      <w:r w:rsidR="00744DD3" w:rsidRPr="00945742">
        <w:t xml:space="preserve">will </w:t>
      </w:r>
      <w:r w:rsidR="0082052A">
        <w:t xml:space="preserve">also </w:t>
      </w:r>
      <w:r w:rsidR="00744DD3" w:rsidRPr="00945742">
        <w:t>be of interest.</w:t>
      </w:r>
      <w:r w:rsidR="00A67A47" w:rsidRPr="00945742">
        <w:t xml:space="preserve"> </w:t>
      </w:r>
      <w:r w:rsidR="0084342E" w:rsidRPr="00945742">
        <w:rPr>
          <w:noProof w:val="0"/>
        </w:rPr>
        <w:t xml:space="preserve">Include the supporting documentation that is relevant to each example of enhancement </w:t>
      </w:r>
      <w:r w:rsidR="009F2DBC">
        <w:rPr>
          <w:noProof w:val="0"/>
        </w:rPr>
        <w:t>and</w:t>
      </w:r>
      <w:r w:rsidR="0084342E" w:rsidRPr="00945742">
        <w:rPr>
          <w:noProof w:val="0"/>
        </w:rPr>
        <w:t xml:space="preserve"> explain why you consider this documentation supports your claim that this represents enhancement.</w:t>
      </w:r>
      <w:r w:rsidR="00E3405A">
        <w:rPr>
          <w:noProof w:val="0"/>
        </w:rPr>
        <w:t xml:space="preserve"> </w:t>
      </w:r>
      <w:r w:rsidR="00F06E90">
        <w:rPr>
          <w:noProof w:val="0"/>
        </w:rPr>
        <w:t>Please note th</w:t>
      </w:r>
      <w:r w:rsidR="00E16880">
        <w:rPr>
          <w:noProof w:val="0"/>
        </w:rPr>
        <w:t xml:space="preserve">at </w:t>
      </w:r>
      <w:r w:rsidR="003E0B12">
        <w:rPr>
          <w:noProof w:val="0"/>
        </w:rPr>
        <w:t>providers subject to the</w:t>
      </w:r>
      <w:r w:rsidR="00E16880">
        <w:rPr>
          <w:noProof w:val="0"/>
        </w:rPr>
        <w:t xml:space="preserve"> </w:t>
      </w:r>
      <w:r w:rsidR="00E16880" w:rsidRPr="009A11B4">
        <w:rPr>
          <w:b/>
          <w:bCs/>
          <w:noProof w:val="0"/>
        </w:rPr>
        <w:t xml:space="preserve">Core </w:t>
      </w:r>
      <w:r w:rsidR="00E16880">
        <w:rPr>
          <w:noProof w:val="0"/>
        </w:rPr>
        <w:t>component</w:t>
      </w:r>
      <w:r w:rsidR="001F207F">
        <w:rPr>
          <w:noProof w:val="0"/>
        </w:rPr>
        <w:t xml:space="preserve"> </w:t>
      </w:r>
      <w:r w:rsidR="00E16880">
        <w:rPr>
          <w:noProof w:val="0"/>
        </w:rPr>
        <w:t>are only required to complete Home Office re</w:t>
      </w:r>
      <w:r w:rsidR="000039CA">
        <w:rPr>
          <w:noProof w:val="0"/>
        </w:rPr>
        <w:t>quirements 1-6</w:t>
      </w:r>
      <w:r w:rsidR="00372E02">
        <w:rPr>
          <w:noProof w:val="0"/>
        </w:rPr>
        <w:t xml:space="preserve"> (underpinned by specific Sector-Agreed Principles)</w:t>
      </w:r>
      <w:r w:rsidR="00557FA1">
        <w:rPr>
          <w:noProof w:val="0"/>
        </w:rPr>
        <w:t>;</w:t>
      </w:r>
      <w:r w:rsidR="000039CA">
        <w:rPr>
          <w:noProof w:val="0"/>
        </w:rPr>
        <w:t xml:space="preserve"> </w:t>
      </w:r>
      <w:r w:rsidR="00557FA1">
        <w:rPr>
          <w:noProof w:val="0"/>
        </w:rPr>
        <w:t>p</w:t>
      </w:r>
      <w:r w:rsidR="000039CA">
        <w:rPr>
          <w:noProof w:val="0"/>
        </w:rPr>
        <w:t xml:space="preserve">roviders subject to the </w:t>
      </w:r>
      <w:r w:rsidR="000039CA" w:rsidRPr="009A11B4">
        <w:rPr>
          <w:b/>
          <w:bCs/>
          <w:noProof w:val="0"/>
        </w:rPr>
        <w:t xml:space="preserve">Full </w:t>
      </w:r>
      <w:r w:rsidR="000039CA">
        <w:rPr>
          <w:noProof w:val="0"/>
        </w:rPr>
        <w:t xml:space="preserve">component will </w:t>
      </w:r>
      <w:r w:rsidR="00557FA1">
        <w:rPr>
          <w:noProof w:val="0"/>
        </w:rPr>
        <w:t xml:space="preserve">also </w:t>
      </w:r>
      <w:r w:rsidR="000039CA">
        <w:rPr>
          <w:noProof w:val="0"/>
        </w:rPr>
        <w:t xml:space="preserve">be required to complete the </w:t>
      </w:r>
      <w:r w:rsidR="0036561E">
        <w:rPr>
          <w:noProof w:val="0"/>
        </w:rPr>
        <w:t>additional</w:t>
      </w:r>
      <w:r w:rsidR="00BD2938">
        <w:rPr>
          <w:noProof w:val="0"/>
        </w:rPr>
        <w:t xml:space="preserve"> Sector-Agreed Principles</w:t>
      </w:r>
      <w:r w:rsidR="00D01C2F">
        <w:rPr>
          <w:noProof w:val="0"/>
        </w:rPr>
        <w:t>.</w:t>
      </w:r>
    </w:p>
    <w:p w14:paraId="62EC22DB" w14:textId="77777777" w:rsidR="003D1E7D" w:rsidRDefault="003D1E7D" w:rsidP="0049651E">
      <w:pPr>
        <w:pStyle w:val="QAAnormal"/>
        <w:rPr>
          <w:noProof w:val="0"/>
        </w:rPr>
      </w:pPr>
    </w:p>
    <w:p w14:paraId="76AD9D42" w14:textId="77777777" w:rsidR="00440FB5" w:rsidRPr="00440FB5" w:rsidRDefault="00B42800" w:rsidP="005D52FE">
      <w:pPr>
        <w:pStyle w:val="Heading2"/>
      </w:pPr>
      <w:r w:rsidRPr="00440FB5">
        <w:t xml:space="preserve">Section </w:t>
      </w:r>
      <w:r w:rsidR="00B77923" w:rsidRPr="00440FB5">
        <w:t>3</w:t>
      </w:r>
      <w:r w:rsidRPr="00440FB5">
        <w:t xml:space="preserve"> </w:t>
      </w:r>
    </w:p>
    <w:p w14:paraId="25D60C0F" w14:textId="23B4625A" w:rsidR="00150A17" w:rsidRDefault="00440FB5" w:rsidP="0049651E">
      <w:pPr>
        <w:pStyle w:val="QAAnormal"/>
        <w:rPr>
          <w:noProof w:val="0"/>
        </w:rPr>
      </w:pPr>
      <w:r>
        <w:rPr>
          <w:noProof w:val="0"/>
        </w:rPr>
        <w:t xml:space="preserve">Section 3 </w:t>
      </w:r>
      <w:r w:rsidR="00B42800">
        <w:rPr>
          <w:noProof w:val="0"/>
        </w:rPr>
        <w:t xml:space="preserve">allows you to list </w:t>
      </w:r>
      <w:r w:rsidR="00B42800" w:rsidRPr="00392969">
        <w:rPr>
          <w:b/>
          <w:bCs/>
          <w:noProof w:val="0"/>
        </w:rPr>
        <w:t>all</w:t>
      </w:r>
      <w:r w:rsidR="00B42800">
        <w:rPr>
          <w:noProof w:val="0"/>
        </w:rPr>
        <w:t xml:space="preserve"> documentation submitted for easy reference by the </w:t>
      </w:r>
      <w:r w:rsidR="006A7853">
        <w:rPr>
          <w:noProof w:val="0"/>
        </w:rPr>
        <w:t xml:space="preserve">review </w:t>
      </w:r>
      <w:r w:rsidR="00B42800">
        <w:rPr>
          <w:noProof w:val="0"/>
        </w:rPr>
        <w:t xml:space="preserve">team. You can </w:t>
      </w:r>
      <w:r w:rsidR="000E2453">
        <w:rPr>
          <w:noProof w:val="0"/>
        </w:rPr>
        <w:t xml:space="preserve">list this within </w:t>
      </w:r>
      <w:r w:rsidR="00144683">
        <w:rPr>
          <w:noProof w:val="0"/>
        </w:rPr>
        <w:t>S</w:t>
      </w:r>
      <w:r w:rsidR="000E2453">
        <w:rPr>
          <w:noProof w:val="0"/>
        </w:rPr>
        <w:t xml:space="preserve">ection </w:t>
      </w:r>
      <w:r w:rsidR="00B77923">
        <w:rPr>
          <w:noProof w:val="0"/>
        </w:rPr>
        <w:t>3</w:t>
      </w:r>
      <w:r w:rsidR="000E2453">
        <w:rPr>
          <w:noProof w:val="0"/>
        </w:rPr>
        <w:t xml:space="preserve"> of this document or provide a separate </w:t>
      </w:r>
      <w:r w:rsidR="00144683">
        <w:rPr>
          <w:noProof w:val="0"/>
        </w:rPr>
        <w:t>E</w:t>
      </w:r>
      <w:r w:rsidR="000E2453">
        <w:rPr>
          <w:noProof w:val="0"/>
        </w:rPr>
        <w:t xml:space="preserve">xcel spreadsheet if you prefer. </w:t>
      </w:r>
      <w:r w:rsidR="003C5338">
        <w:rPr>
          <w:noProof w:val="0"/>
        </w:rPr>
        <w:t xml:space="preserve"> </w:t>
      </w:r>
      <w:r w:rsidR="0049651E">
        <w:rPr>
          <w:noProof w:val="0"/>
        </w:rPr>
        <w:t xml:space="preserve"> </w:t>
      </w:r>
    </w:p>
    <w:p w14:paraId="6E7426AE" w14:textId="77777777" w:rsidR="0049651E" w:rsidRDefault="0049651E" w:rsidP="0049651E">
      <w:pPr>
        <w:pStyle w:val="QAAnormal"/>
      </w:pPr>
    </w:p>
    <w:p w14:paraId="3BB4409E" w14:textId="5A2DD928" w:rsidR="00CA5359" w:rsidRDefault="002B62F9" w:rsidP="00CA5359">
      <w:pPr>
        <w:rPr>
          <w:szCs w:val="22"/>
        </w:rPr>
      </w:pPr>
      <w:r>
        <w:rPr>
          <w:szCs w:val="22"/>
        </w:rPr>
        <w:t>In completing this template, please</w:t>
      </w:r>
      <w:r w:rsidR="007975DB" w:rsidRPr="00DB3851">
        <w:rPr>
          <w:szCs w:val="22"/>
        </w:rPr>
        <w:t xml:space="preserve"> consider the ease with which </w:t>
      </w:r>
      <w:r w:rsidR="00EF3446">
        <w:rPr>
          <w:szCs w:val="22"/>
        </w:rPr>
        <w:t>the review</w:t>
      </w:r>
      <w:r w:rsidR="007975DB" w:rsidRPr="00DB3851">
        <w:rPr>
          <w:szCs w:val="22"/>
        </w:rPr>
        <w:t xml:space="preserve"> team can access and scrutinise your evidence. Your mapping should enable the team to navigate your submission easily </w:t>
      </w:r>
      <w:r w:rsidR="007975DB">
        <w:rPr>
          <w:szCs w:val="22"/>
        </w:rPr>
        <w:t xml:space="preserve">and </w:t>
      </w:r>
      <w:r w:rsidR="007975DB" w:rsidRPr="00DB3851">
        <w:rPr>
          <w:szCs w:val="22"/>
        </w:rPr>
        <w:t>identify the most pertinent evidence</w:t>
      </w:r>
      <w:r w:rsidR="007975DB">
        <w:rPr>
          <w:szCs w:val="22"/>
        </w:rPr>
        <w:t>.</w:t>
      </w:r>
      <w:r w:rsidR="007975DB" w:rsidRPr="00DB3851">
        <w:rPr>
          <w:szCs w:val="22"/>
        </w:rPr>
        <w:t xml:space="preserve"> </w:t>
      </w:r>
      <w:r w:rsidR="00CA5359">
        <w:rPr>
          <w:szCs w:val="22"/>
        </w:rPr>
        <w:t xml:space="preserve">Please also consider how the review team would </w:t>
      </w:r>
      <w:r w:rsidR="00CA5359" w:rsidRPr="00374710">
        <w:rPr>
          <w:szCs w:val="22"/>
        </w:rPr>
        <w:t xml:space="preserve">locate evidence items quickly and efficiently. </w:t>
      </w:r>
      <w:r w:rsidR="00CA5359">
        <w:rPr>
          <w:szCs w:val="22"/>
        </w:rPr>
        <w:t>We request that each piece of evidence you supply has a unique reference number</w:t>
      </w:r>
      <w:r w:rsidR="007E652F">
        <w:rPr>
          <w:szCs w:val="22"/>
        </w:rPr>
        <w:t xml:space="preserve">. We recommend using </w:t>
      </w:r>
      <w:r w:rsidR="001A7AFE">
        <w:rPr>
          <w:szCs w:val="22"/>
        </w:rPr>
        <w:t>a numerical system at the start of the file title</w:t>
      </w:r>
      <w:r w:rsidR="00467F9C">
        <w:rPr>
          <w:szCs w:val="22"/>
        </w:rPr>
        <w:t>,</w:t>
      </w:r>
      <w:r w:rsidR="001A7AFE">
        <w:rPr>
          <w:szCs w:val="22"/>
        </w:rPr>
        <w:t xml:space="preserve"> commencing with </w:t>
      </w:r>
      <w:r w:rsidR="00CA5359">
        <w:rPr>
          <w:szCs w:val="22"/>
        </w:rPr>
        <w:t xml:space="preserve">001 (for example, 001 Strategic Plan; 002 Senate Annual Plan </w:t>
      </w:r>
      <w:r w:rsidR="00467F9C">
        <w:rPr>
          <w:szCs w:val="22"/>
        </w:rPr>
        <w:t>and so on</w:t>
      </w:r>
      <w:r w:rsidR="00CA5359">
        <w:rPr>
          <w:szCs w:val="22"/>
        </w:rPr>
        <w:t xml:space="preserve">) as this allows documents to be listed in numerical order in our document management system. </w:t>
      </w:r>
    </w:p>
    <w:p w14:paraId="5F912D6A" w14:textId="77777777" w:rsidR="00440FB5" w:rsidRDefault="00F2461E" w:rsidP="00F2461E">
      <w:r w:rsidRPr="00F2461E">
        <w:rPr>
          <w:rStyle w:val="Heading2Char"/>
        </w:rPr>
        <w:t>Section 4</w:t>
      </w:r>
      <w:r>
        <w:t xml:space="preserve"> </w:t>
      </w:r>
    </w:p>
    <w:p w14:paraId="6B8FB452" w14:textId="51D085CE" w:rsidR="0087675A" w:rsidRDefault="00440FB5" w:rsidP="00F2461E">
      <w:pPr>
        <w:rPr>
          <w:b/>
        </w:rPr>
      </w:pPr>
      <w:r>
        <w:t xml:space="preserve">Section 4 </w:t>
      </w:r>
      <w:r w:rsidR="00F2461E" w:rsidRPr="008A3999">
        <w:t xml:space="preserve">is to </w:t>
      </w:r>
      <w:r w:rsidR="00D725B5" w:rsidRPr="008A3999">
        <w:t xml:space="preserve">be completed outlining your responsibilities </w:t>
      </w:r>
      <w:r w:rsidR="001D7931" w:rsidRPr="008A3999">
        <w:t>set out in</w:t>
      </w:r>
      <w:r w:rsidR="005E5383" w:rsidRPr="008A3999">
        <w:t xml:space="preserve"> your partnership agreement with any awarding bodies or organisations.</w:t>
      </w:r>
      <w:r w:rsidR="008418C2">
        <w:rPr>
          <w:b/>
        </w:rPr>
        <w:t xml:space="preserve"> </w:t>
      </w:r>
    </w:p>
    <w:p w14:paraId="045FDFC2" w14:textId="088D95B7" w:rsidR="00BE77A0" w:rsidRDefault="00765508" w:rsidP="00EA1F96">
      <w:pPr>
        <w:widowControl/>
        <w:spacing w:after="0"/>
        <w:rPr>
          <w:szCs w:val="22"/>
        </w:rPr>
      </w:pPr>
      <w:r>
        <w:rPr>
          <w:szCs w:val="22"/>
        </w:rPr>
        <w:br w:type="page"/>
      </w:r>
    </w:p>
    <w:p w14:paraId="311FBDD3" w14:textId="6FA1A56E" w:rsidR="00EA1F96" w:rsidRDefault="00EA1F96" w:rsidP="007975DB">
      <w:pPr>
        <w:rPr>
          <w:szCs w:val="22"/>
        </w:rPr>
      </w:pPr>
      <w:r>
        <w:rPr>
          <w:szCs w:val="22"/>
        </w:rPr>
        <w:lastRenderedPageBreak/>
        <w:t xml:space="preserve">Please ensure that all evidence you submit at this stage is included and mapped in this document. </w:t>
      </w:r>
      <w:r w:rsidRPr="003907BA">
        <w:rPr>
          <w:szCs w:val="22"/>
        </w:rPr>
        <w:t>If you refer to evidence that is not submitted</w:t>
      </w:r>
      <w:r>
        <w:rPr>
          <w:szCs w:val="22"/>
        </w:rPr>
        <w:t>,</w:t>
      </w:r>
      <w:r w:rsidRPr="003907BA">
        <w:rPr>
          <w:szCs w:val="22"/>
        </w:rPr>
        <w:t xml:space="preserve"> this may result in delays while this information is obtained.</w:t>
      </w:r>
      <w:r w:rsidRPr="003907BA" w:rsidDel="000C22EB">
        <w:rPr>
          <w:szCs w:val="22"/>
        </w:rPr>
        <w:t xml:space="preserve"> </w:t>
      </w:r>
    </w:p>
    <w:p w14:paraId="407E8D5B" w14:textId="27546FA3" w:rsidR="007975DB" w:rsidRDefault="007975DB" w:rsidP="007975DB">
      <w:pPr>
        <w:rPr>
          <w:szCs w:val="22"/>
        </w:rPr>
      </w:pPr>
      <w:r>
        <w:rPr>
          <w:szCs w:val="22"/>
        </w:rPr>
        <w:t>Y</w:t>
      </w:r>
      <w:r w:rsidRPr="00DB3851">
        <w:rPr>
          <w:szCs w:val="22"/>
        </w:rPr>
        <w:t xml:space="preserve">ou should consider the following when </w:t>
      </w:r>
      <w:r>
        <w:rPr>
          <w:szCs w:val="22"/>
        </w:rPr>
        <w:t>compiling your evidence submission</w:t>
      </w:r>
      <w:r w:rsidR="001137F3">
        <w:rPr>
          <w:szCs w:val="22"/>
        </w:rPr>
        <w:t>.</w:t>
      </w:r>
      <w:r w:rsidRPr="00DB3851">
        <w:rPr>
          <w:szCs w:val="22"/>
        </w:rPr>
        <w:t xml:space="preserve"> </w:t>
      </w:r>
    </w:p>
    <w:tbl>
      <w:tblPr>
        <w:tblStyle w:val="TableGrid"/>
        <w:tblW w:w="0" w:type="auto"/>
        <w:tblLook w:val="04A0" w:firstRow="1" w:lastRow="0" w:firstColumn="1" w:lastColumn="0" w:noHBand="0" w:noVBand="1"/>
      </w:tblPr>
      <w:tblGrid>
        <w:gridCol w:w="7508"/>
      </w:tblGrid>
      <w:tr w:rsidR="000962B1" w14:paraId="65779FBF" w14:textId="77777777" w:rsidTr="00DA2EE7">
        <w:tc>
          <w:tcPr>
            <w:tcW w:w="7508" w:type="dxa"/>
            <w:shd w:val="clear" w:color="auto" w:fill="C6EAB8"/>
          </w:tcPr>
          <w:p w14:paraId="36293233" w14:textId="6E517988" w:rsidR="000962B1" w:rsidRPr="000962B1" w:rsidRDefault="000962B1" w:rsidP="007975DB">
            <w:pPr>
              <w:rPr>
                <w:b/>
                <w:bCs/>
                <w:szCs w:val="22"/>
              </w:rPr>
            </w:pPr>
            <w:r w:rsidRPr="000962B1">
              <w:rPr>
                <w:b/>
                <w:bCs/>
                <w:szCs w:val="22"/>
              </w:rPr>
              <w:t>Please ensure that your submission:</w:t>
            </w:r>
          </w:p>
        </w:tc>
      </w:tr>
      <w:tr w:rsidR="000962B1" w14:paraId="42959341" w14:textId="77777777" w:rsidTr="000962B1">
        <w:tc>
          <w:tcPr>
            <w:tcW w:w="7508" w:type="dxa"/>
          </w:tcPr>
          <w:p w14:paraId="39385EB2" w14:textId="369306BD" w:rsidR="000962B1" w:rsidRPr="000962B1" w:rsidRDefault="00CE03DF" w:rsidP="00645AE2">
            <w:pPr>
              <w:pStyle w:val="ListParagraph"/>
              <w:numPr>
                <w:ilvl w:val="0"/>
                <w:numId w:val="29"/>
              </w:numPr>
              <w:ind w:left="454" w:hanging="454"/>
              <w:rPr>
                <w:szCs w:val="22"/>
              </w:rPr>
            </w:pPr>
            <w:r>
              <w:rPr>
                <w:szCs w:val="22"/>
              </w:rPr>
              <w:t>o</w:t>
            </w:r>
            <w:r w:rsidR="000962B1" w:rsidRPr="000962B1">
              <w:rPr>
                <w:szCs w:val="22"/>
              </w:rPr>
              <w:t>nly includes evidence referenced in this self-evaluation</w:t>
            </w:r>
          </w:p>
        </w:tc>
      </w:tr>
      <w:tr w:rsidR="000962B1" w14:paraId="2C41D602" w14:textId="77777777" w:rsidTr="000962B1">
        <w:tc>
          <w:tcPr>
            <w:tcW w:w="7508" w:type="dxa"/>
          </w:tcPr>
          <w:p w14:paraId="7F3EEE1D" w14:textId="4C30C60D" w:rsidR="000962B1" w:rsidRPr="000962B1" w:rsidRDefault="00CE03DF" w:rsidP="00645AE2">
            <w:pPr>
              <w:pStyle w:val="ListParagraph"/>
              <w:numPr>
                <w:ilvl w:val="0"/>
                <w:numId w:val="29"/>
              </w:numPr>
              <w:ind w:left="454" w:hanging="454"/>
              <w:rPr>
                <w:szCs w:val="22"/>
              </w:rPr>
            </w:pPr>
            <w:r>
              <w:t>i</w:t>
            </w:r>
            <w:r w:rsidR="000962B1">
              <w:t xml:space="preserve">s focused on demonstrating how you consider you meet the </w:t>
            </w:r>
            <w:r w:rsidR="001137F3">
              <w:t xml:space="preserve">    </w:t>
            </w:r>
            <w:r w:rsidR="000962B1">
              <w:t>Sector-Agreed Principles</w:t>
            </w:r>
          </w:p>
        </w:tc>
      </w:tr>
      <w:tr w:rsidR="000962B1" w14:paraId="63D287A9" w14:textId="77777777" w:rsidTr="000962B1">
        <w:tc>
          <w:tcPr>
            <w:tcW w:w="7508" w:type="dxa"/>
          </w:tcPr>
          <w:p w14:paraId="74BBCDC9" w14:textId="1BFEDFBC" w:rsidR="000962B1" w:rsidRPr="000962B1" w:rsidRDefault="00CE03DF" w:rsidP="00645AE2">
            <w:pPr>
              <w:pStyle w:val="ListParagraph"/>
              <w:numPr>
                <w:ilvl w:val="0"/>
                <w:numId w:val="29"/>
              </w:numPr>
              <w:ind w:left="454" w:hanging="454"/>
              <w:rPr>
                <w:szCs w:val="22"/>
              </w:rPr>
            </w:pPr>
            <w:r>
              <w:rPr>
                <w:szCs w:val="22"/>
              </w:rPr>
              <w:t>h</w:t>
            </w:r>
            <w:r w:rsidR="000962B1" w:rsidRPr="000962B1">
              <w:rPr>
                <w:szCs w:val="22"/>
              </w:rPr>
              <w:t>as clear headings and names relevant to the evidence</w:t>
            </w:r>
          </w:p>
        </w:tc>
      </w:tr>
      <w:tr w:rsidR="000962B1" w14:paraId="2D537C89" w14:textId="77777777" w:rsidTr="000962B1">
        <w:tc>
          <w:tcPr>
            <w:tcW w:w="7508" w:type="dxa"/>
          </w:tcPr>
          <w:p w14:paraId="1EAB511D" w14:textId="13C0565E" w:rsidR="000962B1" w:rsidRPr="000962B1" w:rsidRDefault="00CE03DF" w:rsidP="00645AE2">
            <w:pPr>
              <w:pStyle w:val="ListParagraph"/>
              <w:numPr>
                <w:ilvl w:val="0"/>
                <w:numId w:val="29"/>
              </w:numPr>
              <w:ind w:left="454" w:hanging="454"/>
              <w:rPr>
                <w:szCs w:val="22"/>
              </w:rPr>
            </w:pPr>
            <w:r>
              <w:rPr>
                <w:szCs w:val="22"/>
              </w:rPr>
              <w:t>h</w:t>
            </w:r>
            <w:r w:rsidR="000962B1" w:rsidRPr="000962B1">
              <w:rPr>
                <w:szCs w:val="22"/>
              </w:rPr>
              <w:t>as documents (if provided) with clear titles</w:t>
            </w:r>
          </w:p>
        </w:tc>
      </w:tr>
      <w:tr w:rsidR="000962B1" w14:paraId="23E03818" w14:textId="77777777" w:rsidTr="000962B1">
        <w:tc>
          <w:tcPr>
            <w:tcW w:w="7508" w:type="dxa"/>
          </w:tcPr>
          <w:p w14:paraId="76DD53AE" w14:textId="1B67DD95" w:rsidR="000962B1" w:rsidRPr="000962B1" w:rsidRDefault="00CE03DF" w:rsidP="00645AE2">
            <w:pPr>
              <w:pStyle w:val="ListParagraph"/>
              <w:numPr>
                <w:ilvl w:val="0"/>
                <w:numId w:val="29"/>
              </w:numPr>
              <w:ind w:left="454" w:hanging="454"/>
              <w:rPr>
                <w:szCs w:val="22"/>
              </w:rPr>
            </w:pPr>
            <w:r>
              <w:rPr>
                <w:szCs w:val="22"/>
              </w:rPr>
              <w:t>h</w:t>
            </w:r>
            <w:r w:rsidR="000962B1" w:rsidRPr="000962B1">
              <w:rPr>
                <w:szCs w:val="22"/>
              </w:rPr>
              <w:t>as documents (if provided) that include page numbers</w:t>
            </w:r>
          </w:p>
        </w:tc>
      </w:tr>
      <w:tr w:rsidR="000962B1" w14:paraId="5891D97D" w14:textId="77777777" w:rsidTr="000962B1">
        <w:tc>
          <w:tcPr>
            <w:tcW w:w="7508" w:type="dxa"/>
          </w:tcPr>
          <w:p w14:paraId="6BD4AA30" w14:textId="3FD97944" w:rsidR="000962B1" w:rsidRPr="000962B1" w:rsidRDefault="00CE03DF" w:rsidP="00645AE2">
            <w:pPr>
              <w:pStyle w:val="ListParagraph"/>
              <w:numPr>
                <w:ilvl w:val="0"/>
                <w:numId w:val="29"/>
              </w:numPr>
              <w:ind w:left="454" w:hanging="454"/>
              <w:rPr>
                <w:szCs w:val="22"/>
              </w:rPr>
            </w:pPr>
            <w:r>
              <w:rPr>
                <w:szCs w:val="22"/>
              </w:rPr>
              <w:t>i</w:t>
            </w:r>
            <w:r w:rsidR="000962B1" w:rsidRPr="000962B1">
              <w:rPr>
                <w:szCs w:val="22"/>
              </w:rPr>
              <w:t>s not provided in compressed files (such as a .zip file format)</w:t>
            </w:r>
          </w:p>
        </w:tc>
      </w:tr>
      <w:tr w:rsidR="000962B1" w14:paraId="2C2BA434" w14:textId="77777777" w:rsidTr="000962B1">
        <w:tc>
          <w:tcPr>
            <w:tcW w:w="7508" w:type="dxa"/>
          </w:tcPr>
          <w:p w14:paraId="46044082" w14:textId="538A5AC1" w:rsidR="000962B1" w:rsidRPr="000962B1" w:rsidRDefault="00CE03DF" w:rsidP="00645AE2">
            <w:pPr>
              <w:pStyle w:val="ListParagraph"/>
              <w:numPr>
                <w:ilvl w:val="0"/>
                <w:numId w:val="29"/>
              </w:numPr>
              <w:ind w:left="454" w:hanging="454"/>
              <w:rPr>
                <w:szCs w:val="22"/>
              </w:rPr>
            </w:pPr>
            <w:r>
              <w:rPr>
                <w:szCs w:val="22"/>
              </w:rPr>
              <w:t>h</w:t>
            </w:r>
            <w:r w:rsidR="000962B1" w:rsidRPr="000962B1">
              <w:rPr>
                <w:szCs w:val="22"/>
              </w:rPr>
              <w:t>as (if provided) direct hyperlinks to content on webpages</w:t>
            </w:r>
          </w:p>
        </w:tc>
      </w:tr>
      <w:tr w:rsidR="000962B1" w14:paraId="6BD49190" w14:textId="77777777" w:rsidTr="000962B1">
        <w:tc>
          <w:tcPr>
            <w:tcW w:w="7508" w:type="dxa"/>
          </w:tcPr>
          <w:p w14:paraId="01671D1D" w14:textId="121E35BE" w:rsidR="000962B1" w:rsidRPr="000962B1" w:rsidRDefault="00CE03DF" w:rsidP="00645AE2">
            <w:pPr>
              <w:pStyle w:val="ListParagraph"/>
              <w:numPr>
                <w:ilvl w:val="0"/>
                <w:numId w:val="29"/>
              </w:numPr>
              <w:ind w:left="454" w:hanging="454"/>
              <w:rPr>
                <w:szCs w:val="22"/>
              </w:rPr>
            </w:pPr>
            <w:r>
              <w:rPr>
                <w:szCs w:val="22"/>
              </w:rPr>
              <w:t>i</w:t>
            </w:r>
            <w:r w:rsidR="000962B1" w:rsidRPr="000962B1">
              <w:rPr>
                <w:szCs w:val="22"/>
              </w:rPr>
              <w:t>s in file formats that are accessible (not requiring specialist software to access)</w:t>
            </w:r>
          </w:p>
        </w:tc>
      </w:tr>
      <w:tr w:rsidR="000962B1" w14:paraId="653BBF6A" w14:textId="77777777" w:rsidTr="000962B1">
        <w:tc>
          <w:tcPr>
            <w:tcW w:w="7508" w:type="dxa"/>
          </w:tcPr>
          <w:p w14:paraId="5D56C7CC" w14:textId="6989701B" w:rsidR="000962B1" w:rsidRPr="000962B1" w:rsidRDefault="00CE03DF" w:rsidP="00645AE2">
            <w:pPr>
              <w:pStyle w:val="ListParagraph"/>
              <w:numPr>
                <w:ilvl w:val="0"/>
                <w:numId w:val="29"/>
              </w:numPr>
              <w:ind w:left="454" w:hanging="454"/>
              <w:rPr>
                <w:szCs w:val="22"/>
              </w:rPr>
            </w:pPr>
            <w:r>
              <w:rPr>
                <w:color w:val="000000" w:themeColor="text1"/>
                <w:szCs w:val="22"/>
              </w:rPr>
              <w:t>h</w:t>
            </w:r>
            <w:r w:rsidR="000962B1" w:rsidRPr="000962B1">
              <w:rPr>
                <w:color w:val="000000" w:themeColor="text1"/>
                <w:szCs w:val="22"/>
              </w:rPr>
              <w:t>as any personally identifiable or sensitive information, which is not necessary for the team to consider, removed or redacted</w:t>
            </w:r>
            <w:r>
              <w:rPr>
                <w:color w:val="000000" w:themeColor="text1"/>
                <w:szCs w:val="22"/>
              </w:rPr>
              <w:t>.</w:t>
            </w:r>
          </w:p>
        </w:tc>
      </w:tr>
    </w:tbl>
    <w:p w14:paraId="3F6052DF" w14:textId="77777777" w:rsidR="00276F0B" w:rsidRDefault="00276F0B" w:rsidP="007975DB">
      <w:pPr>
        <w:rPr>
          <w:szCs w:val="22"/>
        </w:rPr>
      </w:pPr>
    </w:p>
    <w:tbl>
      <w:tblPr>
        <w:tblStyle w:val="TableGrid"/>
        <w:tblW w:w="0" w:type="auto"/>
        <w:tblLook w:val="04A0" w:firstRow="1" w:lastRow="0" w:firstColumn="1" w:lastColumn="0" w:noHBand="0" w:noVBand="1"/>
      </w:tblPr>
      <w:tblGrid>
        <w:gridCol w:w="7508"/>
      </w:tblGrid>
      <w:tr w:rsidR="000962B1" w14:paraId="5F128F3E" w14:textId="77777777" w:rsidTr="00DA2EE7">
        <w:tc>
          <w:tcPr>
            <w:tcW w:w="7508" w:type="dxa"/>
            <w:shd w:val="clear" w:color="auto" w:fill="C6EAB8"/>
          </w:tcPr>
          <w:p w14:paraId="7317472D" w14:textId="336C83C0" w:rsidR="000962B1" w:rsidRDefault="000962B1" w:rsidP="007975DB">
            <w:pPr>
              <w:rPr>
                <w:szCs w:val="22"/>
              </w:rPr>
            </w:pPr>
            <w:r w:rsidRPr="00B30074">
              <w:rPr>
                <w:b/>
                <w:bCs/>
                <w:szCs w:val="28"/>
              </w:rPr>
              <w:t>Please ensure that your self-evaluation document:</w:t>
            </w:r>
          </w:p>
        </w:tc>
      </w:tr>
      <w:tr w:rsidR="000962B1" w14:paraId="490CF524" w14:textId="77777777" w:rsidTr="000962B1">
        <w:tc>
          <w:tcPr>
            <w:tcW w:w="7508" w:type="dxa"/>
          </w:tcPr>
          <w:p w14:paraId="660E2E23" w14:textId="0E1E2B45" w:rsidR="000962B1" w:rsidRPr="000962B1" w:rsidRDefault="00CE03DF" w:rsidP="00645AE2">
            <w:pPr>
              <w:pStyle w:val="ListParagraph"/>
              <w:numPr>
                <w:ilvl w:val="0"/>
                <w:numId w:val="30"/>
              </w:numPr>
              <w:ind w:left="567" w:hanging="567"/>
              <w:rPr>
                <w:szCs w:val="22"/>
              </w:rPr>
            </w:pPr>
            <w:r>
              <w:rPr>
                <w:szCs w:val="22"/>
              </w:rPr>
              <w:t>r</w:t>
            </w:r>
            <w:r w:rsidR="000962B1" w:rsidRPr="000962B1">
              <w:rPr>
                <w:szCs w:val="22"/>
              </w:rPr>
              <w:t>eferences exact document titles</w:t>
            </w:r>
          </w:p>
        </w:tc>
      </w:tr>
      <w:tr w:rsidR="000962B1" w14:paraId="5EFA960E" w14:textId="77777777" w:rsidTr="000962B1">
        <w:tc>
          <w:tcPr>
            <w:tcW w:w="7508" w:type="dxa"/>
          </w:tcPr>
          <w:p w14:paraId="11254CA8" w14:textId="4F2302E4" w:rsidR="000962B1" w:rsidRPr="000962B1" w:rsidRDefault="00CE03DF" w:rsidP="00645AE2">
            <w:pPr>
              <w:pStyle w:val="ListParagraph"/>
              <w:numPr>
                <w:ilvl w:val="0"/>
                <w:numId w:val="30"/>
              </w:numPr>
              <w:ind w:left="567" w:hanging="567"/>
              <w:rPr>
                <w:szCs w:val="22"/>
              </w:rPr>
            </w:pPr>
            <w:r>
              <w:rPr>
                <w:szCs w:val="22"/>
              </w:rPr>
              <w:t>r</w:t>
            </w:r>
            <w:r w:rsidR="000962B1" w:rsidRPr="000962B1">
              <w:rPr>
                <w:szCs w:val="22"/>
              </w:rPr>
              <w:t>eferences correct page and paragraph numbers</w:t>
            </w:r>
          </w:p>
        </w:tc>
      </w:tr>
      <w:tr w:rsidR="000962B1" w14:paraId="293555A9" w14:textId="77777777" w:rsidTr="000962B1">
        <w:tc>
          <w:tcPr>
            <w:tcW w:w="7508" w:type="dxa"/>
          </w:tcPr>
          <w:p w14:paraId="4E5B8CCC" w14:textId="6F70304A" w:rsidR="000962B1" w:rsidRPr="000962B1" w:rsidRDefault="00CE03DF" w:rsidP="00645AE2">
            <w:pPr>
              <w:pStyle w:val="ListParagraph"/>
              <w:numPr>
                <w:ilvl w:val="0"/>
                <w:numId w:val="30"/>
              </w:numPr>
              <w:ind w:left="567" w:hanging="567"/>
              <w:rPr>
                <w:szCs w:val="22"/>
              </w:rPr>
            </w:pPr>
            <w:r>
              <w:rPr>
                <w:szCs w:val="22"/>
              </w:rPr>
              <w:t>c</w:t>
            </w:r>
            <w:r w:rsidR="000962B1" w:rsidRPr="000962B1">
              <w:rPr>
                <w:szCs w:val="22"/>
              </w:rPr>
              <w:t>ontains specific weblinks (links to specific evidence, not generic webpages), if applicable</w:t>
            </w:r>
          </w:p>
        </w:tc>
      </w:tr>
      <w:tr w:rsidR="000962B1" w14:paraId="486B23A8" w14:textId="77777777" w:rsidTr="000962B1">
        <w:tc>
          <w:tcPr>
            <w:tcW w:w="7508" w:type="dxa"/>
          </w:tcPr>
          <w:p w14:paraId="7E240F47" w14:textId="6D4B91A9" w:rsidR="000962B1" w:rsidRPr="000962B1" w:rsidRDefault="00CE03DF" w:rsidP="00645AE2">
            <w:pPr>
              <w:pStyle w:val="ListParagraph"/>
              <w:numPr>
                <w:ilvl w:val="0"/>
                <w:numId w:val="30"/>
              </w:numPr>
              <w:ind w:left="567" w:hanging="567"/>
              <w:rPr>
                <w:szCs w:val="22"/>
              </w:rPr>
            </w:pPr>
            <w:r>
              <w:rPr>
                <w:szCs w:val="22"/>
              </w:rPr>
              <w:t>c</w:t>
            </w:r>
            <w:r w:rsidR="000962B1" w:rsidRPr="000962B1">
              <w:rPr>
                <w:szCs w:val="22"/>
              </w:rPr>
              <w:t>ontains accessible web links (</w:t>
            </w:r>
            <w:r w:rsidR="00C51500">
              <w:rPr>
                <w:szCs w:val="22"/>
              </w:rPr>
              <w:t xml:space="preserve">not </w:t>
            </w:r>
            <w:r w:rsidR="000962B1" w:rsidRPr="000962B1">
              <w:rPr>
                <w:szCs w:val="22"/>
              </w:rPr>
              <w:t>those accessible only via an internal intranet), if applicable</w:t>
            </w:r>
          </w:p>
        </w:tc>
      </w:tr>
      <w:tr w:rsidR="000962B1" w14:paraId="31A0C59D" w14:textId="77777777" w:rsidTr="000962B1">
        <w:tc>
          <w:tcPr>
            <w:tcW w:w="7508" w:type="dxa"/>
          </w:tcPr>
          <w:p w14:paraId="5143D074" w14:textId="589E9B57" w:rsidR="000962B1" w:rsidRPr="000962B1" w:rsidRDefault="00CE03DF" w:rsidP="00645AE2">
            <w:pPr>
              <w:pStyle w:val="ListParagraph"/>
              <w:numPr>
                <w:ilvl w:val="0"/>
                <w:numId w:val="30"/>
              </w:numPr>
              <w:ind w:left="567" w:hanging="567"/>
              <w:rPr>
                <w:szCs w:val="22"/>
              </w:rPr>
            </w:pPr>
            <w:r>
              <w:t>c</w:t>
            </w:r>
            <w:r w:rsidR="000962B1" w:rsidRPr="00DB3851">
              <w:t>ontains current web links (</w:t>
            </w:r>
            <w:r w:rsidR="000962B1">
              <w:t>those</w:t>
            </w:r>
            <w:r w:rsidR="000962B1" w:rsidRPr="00DB3851">
              <w:t xml:space="preserve"> that are up-to-date and work)</w:t>
            </w:r>
            <w:r w:rsidR="000962B1" w:rsidRPr="00FE762A">
              <w:t>, if applicable</w:t>
            </w:r>
            <w:r>
              <w:t>.</w:t>
            </w:r>
          </w:p>
        </w:tc>
      </w:tr>
    </w:tbl>
    <w:p w14:paraId="7BA36467" w14:textId="77777777" w:rsidR="000962B1" w:rsidRDefault="000962B1" w:rsidP="007975DB">
      <w:pPr>
        <w:rPr>
          <w:szCs w:val="22"/>
        </w:rPr>
      </w:pPr>
    </w:p>
    <w:p w14:paraId="278F57BC" w14:textId="5AD53224" w:rsidR="00EA1F96" w:rsidRDefault="00EA1F96" w:rsidP="00EA1F96">
      <w:pPr>
        <w:rPr>
          <w:szCs w:val="22"/>
        </w:rPr>
      </w:pPr>
      <w:r w:rsidRPr="00F978E2">
        <w:rPr>
          <w:szCs w:val="22"/>
        </w:rPr>
        <w:t>The introductory text on pages 1-</w:t>
      </w:r>
      <w:r>
        <w:rPr>
          <w:szCs w:val="22"/>
        </w:rPr>
        <w:t>3</w:t>
      </w:r>
      <w:r w:rsidRPr="00F978E2">
        <w:rPr>
          <w:szCs w:val="22"/>
        </w:rPr>
        <w:t xml:space="preserve"> of th</w:t>
      </w:r>
      <w:r>
        <w:rPr>
          <w:szCs w:val="22"/>
        </w:rPr>
        <w:t>is</w:t>
      </w:r>
      <w:r w:rsidRPr="00F978E2">
        <w:rPr>
          <w:szCs w:val="22"/>
        </w:rPr>
        <w:t xml:space="preserve"> template should be deleted from your final submission</w:t>
      </w:r>
      <w:r w:rsidR="00E4138C">
        <w:rPr>
          <w:szCs w:val="22"/>
        </w:rPr>
        <w:t>.</w:t>
      </w:r>
    </w:p>
    <w:p w14:paraId="7CFBBC0B" w14:textId="77777777" w:rsidR="00EA1F96" w:rsidRDefault="00EA1F96">
      <w:pPr>
        <w:widowControl/>
        <w:spacing w:after="0"/>
        <w:rPr>
          <w:szCs w:val="22"/>
        </w:rPr>
      </w:pPr>
    </w:p>
    <w:p w14:paraId="2E8F0C62" w14:textId="77777777" w:rsidR="00EA1F96" w:rsidRDefault="00EA1F96">
      <w:pPr>
        <w:widowControl/>
        <w:spacing w:after="0"/>
        <w:rPr>
          <w:szCs w:val="22"/>
        </w:rPr>
        <w:sectPr w:rsidR="00EA1F96" w:rsidSect="00583F70">
          <w:headerReference w:type="default" r:id="rId10"/>
          <w:footerReference w:type="even" r:id="rId11"/>
          <w:footerReference w:type="default" r:id="rId12"/>
          <w:pgSz w:w="11906" w:h="16838" w:code="9"/>
          <w:pgMar w:top="1440" w:right="1440" w:bottom="1440" w:left="1440" w:header="720" w:footer="720" w:gutter="0"/>
          <w:pgNumType w:start="1"/>
          <w:cols w:space="708"/>
          <w:docGrid w:linePitch="326"/>
        </w:sectPr>
      </w:pPr>
    </w:p>
    <w:p w14:paraId="0332B869" w14:textId="6ABCE380" w:rsidR="0025309D" w:rsidRDefault="0025309D" w:rsidP="70FB7DD3">
      <w:pPr>
        <w:pStyle w:val="Heading1"/>
      </w:pPr>
      <w:r>
        <w:rPr>
          <w:noProof/>
          <w:snapToGrid/>
        </w:rPr>
        <w:lastRenderedPageBreak/>
        <w:drawing>
          <wp:inline distT="0" distB="0" distL="0" distR="0" wp14:anchorId="6B709FC8" wp14:editId="0D5804D8">
            <wp:extent cx="1800000" cy="621075"/>
            <wp:effectExtent l="0" t="0" r="0" b="7620"/>
            <wp:docPr id="266914878" name="Picture 1" descr="A green arrow and purpl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14878" name="Picture 1" descr="A green arrow and purple arr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621075"/>
                    </a:xfrm>
                    <a:prstGeom prst="rect">
                      <a:avLst/>
                    </a:prstGeom>
                  </pic:spPr>
                </pic:pic>
              </a:graphicData>
            </a:graphic>
          </wp:inline>
        </w:drawing>
      </w:r>
    </w:p>
    <w:p w14:paraId="4BB546B7" w14:textId="085B2DEF" w:rsidR="00383F7F" w:rsidRPr="0009774E" w:rsidRDefault="0025309D" w:rsidP="70FB7DD3">
      <w:pPr>
        <w:pStyle w:val="Heading1"/>
        <w:rPr>
          <w:sz w:val="40"/>
          <w:szCs w:val="40"/>
        </w:rPr>
      </w:pPr>
      <w:r w:rsidRPr="0009774E">
        <w:rPr>
          <w:sz w:val="40"/>
          <w:szCs w:val="40"/>
        </w:rPr>
        <w:t xml:space="preserve">Educational Oversight Review: </w:t>
      </w:r>
      <w:r w:rsidR="2DDD0352" w:rsidRPr="0009774E">
        <w:rPr>
          <w:sz w:val="40"/>
          <w:szCs w:val="40"/>
        </w:rPr>
        <w:t>Self</w:t>
      </w:r>
      <w:r w:rsidR="1879FA9C" w:rsidRPr="0009774E">
        <w:rPr>
          <w:sz w:val="40"/>
          <w:szCs w:val="40"/>
        </w:rPr>
        <w:t>-</w:t>
      </w:r>
      <w:r w:rsidRPr="0009774E">
        <w:rPr>
          <w:sz w:val="40"/>
          <w:szCs w:val="40"/>
        </w:rPr>
        <w:t>E</w:t>
      </w:r>
      <w:r w:rsidR="2DDD0352" w:rsidRPr="0009774E">
        <w:rPr>
          <w:sz w:val="40"/>
          <w:szCs w:val="40"/>
        </w:rPr>
        <w:t xml:space="preserve">valuation </w:t>
      </w:r>
      <w:r w:rsidRPr="0009774E">
        <w:rPr>
          <w:sz w:val="40"/>
          <w:szCs w:val="40"/>
        </w:rPr>
        <w:t>Document</w:t>
      </w:r>
    </w:p>
    <w:tbl>
      <w:tblPr>
        <w:tblStyle w:val="TableGrid"/>
        <w:tblW w:w="0" w:type="auto"/>
        <w:tblLook w:val="04A0" w:firstRow="1" w:lastRow="0" w:firstColumn="1" w:lastColumn="0" w:noHBand="0" w:noVBand="1"/>
      </w:tblPr>
      <w:tblGrid>
        <w:gridCol w:w="2830"/>
        <w:gridCol w:w="11118"/>
      </w:tblGrid>
      <w:tr w:rsidR="0009774E" w14:paraId="5D1EF29D" w14:textId="77777777" w:rsidTr="00955145">
        <w:tc>
          <w:tcPr>
            <w:tcW w:w="2830" w:type="dxa"/>
            <w:shd w:val="clear" w:color="auto" w:fill="C6EAB8"/>
          </w:tcPr>
          <w:p w14:paraId="7226CAE0" w14:textId="3083C06B" w:rsidR="0009774E" w:rsidRPr="0009774E" w:rsidRDefault="0009774E" w:rsidP="0025309D">
            <w:pPr>
              <w:rPr>
                <w:b/>
                <w:bCs/>
                <w:color w:val="45005E"/>
                <w:sz w:val="24"/>
                <w:szCs w:val="24"/>
              </w:rPr>
            </w:pPr>
            <w:r w:rsidRPr="0009774E">
              <w:rPr>
                <w:b/>
                <w:bCs/>
                <w:color w:val="000000" w:themeColor="text1"/>
                <w:sz w:val="24"/>
                <w:szCs w:val="24"/>
              </w:rPr>
              <w:t>Name of institution</w:t>
            </w:r>
            <w:r>
              <w:rPr>
                <w:b/>
                <w:bCs/>
                <w:color w:val="000000" w:themeColor="text1"/>
                <w:sz w:val="24"/>
                <w:szCs w:val="24"/>
              </w:rPr>
              <w:t>:</w:t>
            </w:r>
          </w:p>
        </w:tc>
        <w:tc>
          <w:tcPr>
            <w:tcW w:w="11118" w:type="dxa"/>
          </w:tcPr>
          <w:p w14:paraId="5541EC9C" w14:textId="77777777" w:rsidR="0009774E" w:rsidRDefault="0009774E" w:rsidP="0025309D">
            <w:pPr>
              <w:rPr>
                <w:b/>
                <w:bCs/>
                <w:color w:val="45005E"/>
                <w:sz w:val="32"/>
                <w:szCs w:val="32"/>
              </w:rPr>
            </w:pPr>
          </w:p>
        </w:tc>
      </w:tr>
    </w:tbl>
    <w:p w14:paraId="18374513" w14:textId="77777777" w:rsidR="0009774E" w:rsidRPr="0009774E" w:rsidRDefault="0009774E" w:rsidP="0009774E">
      <w:pPr>
        <w:spacing w:after="0"/>
      </w:pPr>
    </w:p>
    <w:p w14:paraId="183C5090" w14:textId="21C8321D" w:rsidR="003573CA" w:rsidRPr="003573CA" w:rsidRDefault="003573CA" w:rsidP="005D52FE">
      <w:pPr>
        <w:pStyle w:val="Heading2"/>
      </w:pPr>
      <w:r>
        <w:t>Section 1: Brief description of your institution</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C45BB3" w:rsidRPr="00DB3851" w14:paraId="166A6DB9" w14:textId="77777777" w:rsidTr="00DA2EE7">
        <w:trPr>
          <w:trHeight w:val="567"/>
        </w:trPr>
        <w:tc>
          <w:tcPr>
            <w:tcW w:w="14312" w:type="dxa"/>
            <w:shd w:val="clear" w:color="auto" w:fill="C6EAB8"/>
          </w:tcPr>
          <w:p w14:paraId="438668AC" w14:textId="654E30F1" w:rsidR="00C45BB3" w:rsidRPr="00D357B1" w:rsidRDefault="763FEEF0" w:rsidP="157EE4D4">
            <w:pPr>
              <w:spacing w:before="60" w:after="60"/>
              <w:rPr>
                <w:rFonts w:eastAsia="Arial"/>
                <w:b/>
                <w:bCs/>
                <w:color w:val="FFFFFF" w:themeColor="background1"/>
                <w:sz w:val="24"/>
                <w:szCs w:val="24"/>
              </w:rPr>
            </w:pPr>
            <w:r w:rsidRPr="00EB277A">
              <w:rPr>
                <w:b/>
                <w:bCs/>
                <w:color w:val="000000" w:themeColor="text1"/>
                <w:sz w:val="24"/>
                <w:szCs w:val="24"/>
              </w:rPr>
              <w:t xml:space="preserve">Brief </w:t>
            </w:r>
            <w:r w:rsidR="2CFC03F8" w:rsidRPr="00EB277A">
              <w:rPr>
                <w:b/>
                <w:bCs/>
                <w:color w:val="000000" w:themeColor="text1"/>
                <w:sz w:val="24"/>
                <w:szCs w:val="24"/>
              </w:rPr>
              <w:t>description</w:t>
            </w:r>
            <w:r w:rsidRPr="00EB277A">
              <w:rPr>
                <w:b/>
                <w:bCs/>
                <w:color w:val="000000" w:themeColor="text1"/>
                <w:sz w:val="24"/>
                <w:szCs w:val="24"/>
              </w:rPr>
              <w:t xml:space="preserve"> of </w:t>
            </w:r>
            <w:r w:rsidR="2CFC03F8" w:rsidRPr="00EB277A">
              <w:rPr>
                <w:b/>
                <w:bCs/>
                <w:color w:val="000000" w:themeColor="text1"/>
                <w:sz w:val="24"/>
                <w:szCs w:val="24"/>
              </w:rPr>
              <w:t>your institution</w:t>
            </w:r>
          </w:p>
        </w:tc>
      </w:tr>
      <w:tr w:rsidR="00C45BB3" w:rsidRPr="00DB3851" w14:paraId="1AA84F1C" w14:textId="77777777" w:rsidTr="00FF00DF">
        <w:trPr>
          <w:trHeight w:val="986"/>
        </w:trPr>
        <w:tc>
          <w:tcPr>
            <w:tcW w:w="14312" w:type="dxa"/>
            <w:shd w:val="clear" w:color="auto" w:fill="FFFFFF" w:themeFill="background1"/>
          </w:tcPr>
          <w:p w14:paraId="41C3662D" w14:textId="3DDF9C38" w:rsidR="00FF00DF" w:rsidRPr="00FF00DF" w:rsidRDefault="005412FE" w:rsidP="005C3574">
            <w:pPr>
              <w:rPr>
                <w:b/>
                <w:bCs/>
              </w:rPr>
            </w:pPr>
            <w:r>
              <w:rPr>
                <w:rFonts w:eastAsia="Arial"/>
                <w:b/>
              </w:rPr>
              <w:t>A</w:t>
            </w:r>
            <w:r w:rsidR="00C9560C" w:rsidRPr="00FF00DF">
              <w:rPr>
                <w:rFonts w:eastAsia="Arial"/>
                <w:b/>
              </w:rPr>
              <w:t xml:space="preserve"> concise </w:t>
            </w:r>
            <w:r w:rsidR="00DB38EB" w:rsidRPr="00FF00DF">
              <w:rPr>
                <w:rFonts w:eastAsia="Arial"/>
                <w:b/>
              </w:rPr>
              <w:t>overview of your institution to provide context for</w:t>
            </w:r>
            <w:r w:rsidR="00B77B46" w:rsidRPr="00FF00DF">
              <w:rPr>
                <w:rFonts w:eastAsia="Arial"/>
                <w:b/>
              </w:rPr>
              <w:t xml:space="preserve"> </w:t>
            </w:r>
            <w:r w:rsidR="00FE66CF" w:rsidRPr="00FF00DF">
              <w:rPr>
                <w:rFonts w:eastAsia="Arial"/>
                <w:b/>
              </w:rPr>
              <w:t>what follows in the sections below.</w:t>
            </w:r>
            <w:r w:rsidR="00B77B46" w:rsidRPr="00FF00DF">
              <w:rPr>
                <w:rFonts w:eastAsia="Arial"/>
                <w:b/>
              </w:rPr>
              <w:t xml:space="preserve"> </w:t>
            </w:r>
            <w:r w:rsidR="00BC3113" w:rsidRPr="00FF00DF">
              <w:rPr>
                <w:rFonts w:eastAsia="Arial"/>
                <w:b/>
              </w:rPr>
              <w:t xml:space="preserve">Your overview should not repeat information in the supporting documentation but should clearly signpost </w:t>
            </w:r>
            <w:r w:rsidR="00DE1AB7" w:rsidRPr="00FF00DF">
              <w:rPr>
                <w:rFonts w:eastAsia="Arial"/>
                <w:b/>
              </w:rPr>
              <w:t>the reviewers to the relevant sections of the documentation</w:t>
            </w:r>
            <w:r w:rsidR="0050534C" w:rsidRPr="00FF00DF">
              <w:rPr>
                <w:rFonts w:eastAsia="Arial"/>
                <w:b/>
              </w:rPr>
              <w:t xml:space="preserve"> that support your statements. </w:t>
            </w:r>
          </w:p>
          <w:p w14:paraId="50F1BE75" w14:textId="55087D7F" w:rsidR="0071529C" w:rsidRPr="005C3574" w:rsidRDefault="0050534C" w:rsidP="005C3574">
            <w:pPr>
              <w:rPr>
                <w:rFonts w:eastAsia="Arial"/>
              </w:rPr>
            </w:pPr>
            <w:r w:rsidRPr="005C3574">
              <w:rPr>
                <w:rFonts w:eastAsia="Arial"/>
              </w:rPr>
              <w:t xml:space="preserve">Supporting evidence is likely to include some or </w:t>
            </w:r>
            <w:proofErr w:type="gramStart"/>
            <w:r w:rsidRPr="005C3574">
              <w:rPr>
                <w:rFonts w:eastAsia="Arial"/>
              </w:rPr>
              <w:t>all of</w:t>
            </w:r>
            <w:proofErr w:type="gramEnd"/>
            <w:r w:rsidRPr="005C3574">
              <w:rPr>
                <w:rFonts w:eastAsia="Arial"/>
              </w:rPr>
              <w:t xml:space="preserve"> the following:</w:t>
            </w:r>
          </w:p>
          <w:p w14:paraId="298921A0" w14:textId="03A4E8E8" w:rsidR="0050534C" w:rsidRPr="0050534C" w:rsidRDefault="00C9560C" w:rsidP="005A04DD">
            <w:pPr>
              <w:pStyle w:val="QAAbullet"/>
              <w:spacing w:after="80"/>
              <w:ind w:left="567" w:right="284" w:hanging="567"/>
              <w:rPr>
                <w:i/>
                <w:iCs/>
                <w:color w:val="000000" w:themeColor="text1"/>
              </w:rPr>
            </w:pPr>
            <w:r>
              <w:t>your institution</w:t>
            </w:r>
            <w:r w:rsidR="001E4F5C">
              <w:t>'</w:t>
            </w:r>
            <w:r>
              <w:t xml:space="preserve">s mission and ethos </w:t>
            </w:r>
          </w:p>
          <w:p w14:paraId="62DD8900" w14:textId="77777777" w:rsidR="00B952D0" w:rsidRPr="00B952D0" w:rsidRDefault="00C9560C" w:rsidP="005A04DD">
            <w:pPr>
              <w:pStyle w:val="QAAbullet"/>
              <w:spacing w:after="80"/>
              <w:ind w:left="567" w:right="284" w:hanging="567"/>
              <w:rPr>
                <w:i/>
                <w:iCs/>
                <w:color w:val="000000" w:themeColor="text1"/>
              </w:rPr>
            </w:pPr>
            <w:r>
              <w:t xml:space="preserve">recent major changes (or changes since the last QAA review where relevant) </w:t>
            </w:r>
          </w:p>
          <w:p w14:paraId="447A00EA" w14:textId="77777777" w:rsidR="00B952D0" w:rsidRPr="00B952D0" w:rsidRDefault="00C9560C" w:rsidP="005A04DD">
            <w:pPr>
              <w:pStyle w:val="QAAbullet"/>
              <w:spacing w:after="80"/>
              <w:ind w:left="567" w:right="284" w:hanging="567"/>
              <w:rPr>
                <w:i/>
                <w:iCs/>
                <w:color w:val="000000" w:themeColor="text1"/>
              </w:rPr>
            </w:pPr>
            <w:r>
              <w:t>strategic aims or priorities</w:t>
            </w:r>
          </w:p>
          <w:p w14:paraId="004D30BA" w14:textId="77777777" w:rsidR="00B952D0" w:rsidRPr="00B952D0" w:rsidRDefault="00C9560C" w:rsidP="005A04DD">
            <w:pPr>
              <w:pStyle w:val="QAAbullet"/>
              <w:spacing w:after="80"/>
              <w:ind w:left="567" w:right="284" w:hanging="567"/>
              <w:rPr>
                <w:i/>
                <w:iCs/>
                <w:color w:val="000000" w:themeColor="text1"/>
              </w:rPr>
            </w:pPr>
            <w:r>
              <w:t>key challenges your institution faces</w:t>
            </w:r>
          </w:p>
          <w:p w14:paraId="55EBB404" w14:textId="77777777" w:rsidR="00B952D0" w:rsidRPr="00B952D0" w:rsidRDefault="00C9560C" w:rsidP="005A04DD">
            <w:pPr>
              <w:pStyle w:val="QAAbullet"/>
              <w:spacing w:after="80"/>
              <w:ind w:left="567" w:right="284" w:hanging="567"/>
              <w:rPr>
                <w:i/>
                <w:iCs/>
                <w:color w:val="000000" w:themeColor="text1"/>
              </w:rPr>
            </w:pPr>
            <w:r>
              <w:t xml:space="preserve">implications of changes, challenges, strategic </w:t>
            </w:r>
            <w:proofErr w:type="gramStart"/>
            <w:r>
              <w:t>aims</w:t>
            </w:r>
            <w:proofErr w:type="gramEnd"/>
            <w:r>
              <w:t xml:space="preserve"> or priorities for safeguarding academic standards and the quality of student learning opportunities</w:t>
            </w:r>
          </w:p>
          <w:p w14:paraId="504ECF00" w14:textId="77777777" w:rsidR="00B952D0" w:rsidRPr="00B952D0" w:rsidRDefault="00C9560C" w:rsidP="005A04DD">
            <w:pPr>
              <w:pStyle w:val="QAAbullet"/>
              <w:spacing w:after="80"/>
              <w:ind w:left="567" w:right="284" w:hanging="567"/>
              <w:rPr>
                <w:i/>
                <w:iCs/>
                <w:color w:val="000000" w:themeColor="text1"/>
              </w:rPr>
            </w:pPr>
            <w:r>
              <w:t xml:space="preserve">details of the external reference points, where relevant, that your institution is required to consider (for example: national requirements, the requirements of professional, </w:t>
            </w:r>
            <w:proofErr w:type="gramStart"/>
            <w:r>
              <w:t>statutory</w:t>
            </w:r>
            <w:proofErr w:type="gramEnd"/>
            <w:r>
              <w:t xml:space="preserve"> and regulatory bodies, and qualification frameworks)</w:t>
            </w:r>
          </w:p>
          <w:p w14:paraId="1B032365" w14:textId="77777777" w:rsidR="00B952D0" w:rsidRPr="00B952D0" w:rsidRDefault="00C9560C" w:rsidP="005A04DD">
            <w:pPr>
              <w:pStyle w:val="QAAbullet"/>
              <w:spacing w:after="80"/>
              <w:ind w:left="567" w:right="284" w:hanging="567"/>
              <w:rPr>
                <w:i/>
                <w:iCs/>
                <w:color w:val="000000" w:themeColor="text1"/>
              </w:rPr>
            </w:pPr>
            <w:r>
              <w:t>number of students and staff (managerial, academic, professional services staff)</w:t>
            </w:r>
          </w:p>
          <w:p w14:paraId="68ACAE7E" w14:textId="77777777" w:rsidR="00FE66CF" w:rsidRPr="00FE66CF" w:rsidRDefault="00C9560C" w:rsidP="005A04DD">
            <w:pPr>
              <w:pStyle w:val="QAAbullet"/>
              <w:spacing w:after="80"/>
              <w:ind w:left="567" w:right="284" w:hanging="567"/>
              <w:rPr>
                <w:i/>
                <w:iCs/>
                <w:color w:val="000000" w:themeColor="text1"/>
              </w:rPr>
            </w:pPr>
            <w:r>
              <w:t>outline of any contractual agreements with awarding bodies/validating bodies; subcontracting arrangements and respective responsibilities</w:t>
            </w:r>
          </w:p>
          <w:p w14:paraId="18BC463C" w14:textId="6BCE5D55" w:rsidR="00B952D0" w:rsidRPr="00511736" w:rsidRDefault="00C9560C" w:rsidP="005A04DD">
            <w:pPr>
              <w:pStyle w:val="QAAbullet"/>
              <w:spacing w:after="80"/>
              <w:ind w:left="567" w:right="284" w:hanging="567"/>
              <w:rPr>
                <w:i/>
                <w:iCs/>
                <w:color w:val="000000" w:themeColor="text1"/>
              </w:rPr>
            </w:pPr>
            <w:r>
              <w:lastRenderedPageBreak/>
              <w:t>outline of organisational structure (for example: departments, directorates)</w:t>
            </w:r>
          </w:p>
          <w:p w14:paraId="49EE96F4" w14:textId="0358694D" w:rsidR="00C45BB3" w:rsidRPr="00D94780" w:rsidRDefault="244A3E49" w:rsidP="005A04DD">
            <w:pPr>
              <w:pStyle w:val="QAAbullet"/>
              <w:spacing w:after="80"/>
              <w:ind w:left="567" w:right="284" w:hanging="567"/>
              <w:rPr>
                <w:i/>
                <w:iCs/>
                <w:color w:val="000000" w:themeColor="text1"/>
              </w:rPr>
            </w:pPr>
            <w:r>
              <w:t>previous external quality assurance activities, including any outcomes and progress made against any recommendations and/or good practice</w:t>
            </w:r>
          </w:p>
          <w:p w14:paraId="79FD5C26" w14:textId="0FD5D3AA" w:rsidR="008C0D23" w:rsidRPr="008C0D23" w:rsidRDefault="008C0D23" w:rsidP="005A04DD">
            <w:pPr>
              <w:pStyle w:val="QAAbullet"/>
              <w:spacing w:after="80"/>
              <w:ind w:left="567" w:right="284" w:hanging="567"/>
              <w:rPr>
                <w:rFonts w:eastAsia="Arial" w:cs="Arial"/>
              </w:rPr>
            </w:pPr>
            <w:r>
              <w:rPr>
                <w:rFonts w:eastAsia="Arial" w:cs="Arial"/>
              </w:rPr>
              <w:t xml:space="preserve">examples of enhancement that you have taken </w:t>
            </w:r>
            <w:proofErr w:type="gramStart"/>
            <w:r>
              <w:rPr>
                <w:rFonts w:eastAsia="Arial" w:cs="Arial"/>
              </w:rPr>
              <w:t>with regard to</w:t>
            </w:r>
            <w:proofErr w:type="gramEnd"/>
            <w:r>
              <w:rPr>
                <w:rFonts w:eastAsia="Arial" w:cs="Arial"/>
              </w:rPr>
              <w:t xml:space="preserve"> your higher education prov</w:t>
            </w:r>
            <w:r w:rsidR="00544BAF">
              <w:rPr>
                <w:rFonts w:eastAsia="Arial" w:cs="Arial"/>
              </w:rPr>
              <w:t>i</w:t>
            </w:r>
            <w:r>
              <w:rPr>
                <w:rFonts w:eastAsia="Arial" w:cs="Arial"/>
              </w:rPr>
              <w:t>sion</w:t>
            </w:r>
          </w:p>
          <w:p w14:paraId="3D474BFF" w14:textId="77777777" w:rsidR="00D94780" w:rsidRPr="00511736" w:rsidRDefault="00D94780" w:rsidP="005A04DD">
            <w:pPr>
              <w:pStyle w:val="QAAbullet"/>
              <w:spacing w:after="80"/>
              <w:ind w:left="567" w:right="284" w:hanging="567"/>
              <w:rPr>
                <w:i/>
                <w:iCs/>
                <w:color w:val="000000" w:themeColor="text1"/>
              </w:rPr>
            </w:pPr>
            <w:r w:rsidRPr="00511736">
              <w:rPr>
                <w:color w:val="000000" w:themeColor="text1"/>
              </w:rPr>
              <w:t>a broad overview of your approach to quality assurance</w:t>
            </w:r>
          </w:p>
          <w:p w14:paraId="218FEB1D" w14:textId="77777777" w:rsidR="00C45BB3" w:rsidRPr="0025309D" w:rsidRDefault="5F2A45CD" w:rsidP="005A04DD">
            <w:pPr>
              <w:pStyle w:val="QAAbullet"/>
              <w:spacing w:after="0"/>
              <w:ind w:left="567" w:right="284" w:hanging="567"/>
              <w:rPr>
                <w:i/>
                <w:iCs/>
                <w:color w:val="000000" w:themeColor="text1"/>
              </w:rPr>
            </w:pPr>
            <w:r w:rsidRPr="00B43E46">
              <w:rPr>
                <w:rFonts w:eastAsia="Arial" w:cs="Arial"/>
              </w:rPr>
              <w:t xml:space="preserve">partnership agreements and </w:t>
            </w:r>
            <w:r w:rsidR="6EABE57C" w:rsidRPr="00B43E46">
              <w:rPr>
                <w:rFonts w:eastAsia="Arial" w:cs="Arial"/>
              </w:rPr>
              <w:t>responsibilities checklists for a</w:t>
            </w:r>
            <w:r w:rsidR="4AFF1A1B" w:rsidRPr="00B43E46">
              <w:rPr>
                <w:rFonts w:eastAsia="Arial" w:cs="Arial"/>
              </w:rPr>
              <w:t>ll your</w:t>
            </w:r>
            <w:r w:rsidR="6EABE57C" w:rsidRPr="00B43E46">
              <w:rPr>
                <w:rFonts w:eastAsia="Arial" w:cs="Arial"/>
              </w:rPr>
              <w:t xml:space="preserve"> partner arrangements</w:t>
            </w:r>
            <w:r w:rsidR="00F25F22">
              <w:rPr>
                <w:rFonts w:eastAsia="Arial" w:cs="Arial"/>
              </w:rPr>
              <w:t>; t</w:t>
            </w:r>
            <w:r w:rsidR="6EABE57C" w:rsidRPr="2602E1D2">
              <w:rPr>
                <w:rFonts w:eastAsia="Arial" w:cs="Arial"/>
              </w:rPr>
              <w:t>his enables a review team to understand the res</w:t>
            </w:r>
            <w:r w:rsidR="3F4742A0" w:rsidRPr="2602E1D2">
              <w:rPr>
                <w:rFonts w:eastAsia="Arial" w:cs="Arial"/>
              </w:rPr>
              <w:t>pective responsibil</w:t>
            </w:r>
            <w:r w:rsidR="00544BAF">
              <w:rPr>
                <w:rFonts w:eastAsia="Arial" w:cs="Arial"/>
              </w:rPr>
              <w:t>i</w:t>
            </w:r>
            <w:r w:rsidR="3F4742A0" w:rsidRPr="2602E1D2">
              <w:rPr>
                <w:rFonts w:eastAsia="Arial" w:cs="Arial"/>
              </w:rPr>
              <w:t>ties for quality and standards in collaborative academic partnerships</w:t>
            </w:r>
            <w:r w:rsidR="00F25F22">
              <w:rPr>
                <w:rFonts w:eastAsia="Arial" w:cs="Arial"/>
              </w:rPr>
              <w:t>;</w:t>
            </w:r>
            <w:r w:rsidR="3F4742A0" w:rsidRPr="2602E1D2">
              <w:rPr>
                <w:rFonts w:eastAsia="Arial" w:cs="Arial"/>
              </w:rPr>
              <w:t xml:space="preserve"> </w:t>
            </w:r>
            <w:r w:rsidR="00F25F22">
              <w:rPr>
                <w:rFonts w:eastAsia="Arial" w:cs="Arial"/>
              </w:rPr>
              <w:t>a</w:t>
            </w:r>
            <w:r w:rsidR="6EABE57C" w:rsidRPr="2602E1D2">
              <w:rPr>
                <w:rFonts w:eastAsia="Arial" w:cs="Arial"/>
              </w:rPr>
              <w:t xml:space="preserve"> </w:t>
            </w:r>
            <w:r w:rsidR="4387A50A" w:rsidRPr="2602E1D2">
              <w:rPr>
                <w:rFonts w:eastAsia="Arial" w:cs="Arial"/>
              </w:rPr>
              <w:t xml:space="preserve">responsibilities checklist template is available </w:t>
            </w:r>
            <w:r w:rsidR="1C800C4C" w:rsidRPr="2602E1D2">
              <w:rPr>
                <w:rFonts w:eastAsia="Arial" w:cs="Arial"/>
              </w:rPr>
              <w:t>on request</w:t>
            </w:r>
            <w:r w:rsidR="4387A50A" w:rsidRPr="2602E1D2">
              <w:rPr>
                <w:rFonts w:eastAsia="Arial" w:cs="Arial"/>
              </w:rPr>
              <w:t>.</w:t>
            </w:r>
            <w:r w:rsidR="6EABE57C" w:rsidRPr="2602E1D2">
              <w:rPr>
                <w:rFonts w:eastAsia="Arial" w:cs="Arial"/>
              </w:rPr>
              <w:t xml:space="preserve"> </w:t>
            </w:r>
          </w:p>
          <w:p w14:paraId="16497208" w14:textId="3CDCBD3E" w:rsidR="0025309D" w:rsidRPr="00E47A30" w:rsidRDefault="0025309D" w:rsidP="0025309D">
            <w:pPr>
              <w:pStyle w:val="QAAbullet"/>
              <w:numPr>
                <w:ilvl w:val="0"/>
                <w:numId w:val="0"/>
              </w:numPr>
              <w:spacing w:after="0"/>
              <w:ind w:left="567" w:right="284"/>
              <w:rPr>
                <w:i/>
                <w:iCs/>
                <w:color w:val="000000" w:themeColor="text1"/>
              </w:rPr>
            </w:pPr>
          </w:p>
        </w:tc>
      </w:tr>
      <w:tr w:rsidR="00FF00DF" w:rsidRPr="00DB3851" w14:paraId="62D4BC16" w14:textId="77777777" w:rsidTr="00F43D7B">
        <w:trPr>
          <w:trHeight w:val="567"/>
        </w:trPr>
        <w:tc>
          <w:tcPr>
            <w:tcW w:w="14312" w:type="dxa"/>
            <w:shd w:val="clear" w:color="auto" w:fill="C6EAB8"/>
          </w:tcPr>
          <w:p w14:paraId="56E32379" w14:textId="0318F5F7" w:rsidR="00FF00DF" w:rsidRPr="00FB3756" w:rsidRDefault="00FF00DF" w:rsidP="00E825BF">
            <w:pPr>
              <w:pStyle w:val="QAAnormal"/>
              <w:ind w:right="1134"/>
              <w:rPr>
                <w:rFonts w:cs="Arial"/>
                <w:b/>
                <w:bCs/>
                <w:color w:val="000000" w:themeColor="text1"/>
                <w:sz w:val="24"/>
                <w:szCs w:val="24"/>
              </w:rPr>
            </w:pPr>
            <w:r w:rsidRPr="00FB3756">
              <w:rPr>
                <w:rFonts w:cs="Arial"/>
                <w:b/>
                <w:bCs/>
                <w:color w:val="000000" w:themeColor="text1"/>
                <w:sz w:val="24"/>
                <w:szCs w:val="24"/>
              </w:rPr>
              <w:lastRenderedPageBreak/>
              <w:t>Part 1</w:t>
            </w:r>
          </w:p>
        </w:tc>
      </w:tr>
      <w:tr w:rsidR="00E825BF" w:rsidRPr="00DB3851" w14:paraId="2B9A05A9" w14:textId="77777777" w:rsidTr="001E4F5C">
        <w:trPr>
          <w:trHeight w:val="986"/>
        </w:trPr>
        <w:tc>
          <w:tcPr>
            <w:tcW w:w="14312" w:type="dxa"/>
            <w:shd w:val="clear" w:color="auto" w:fill="FFFFFF" w:themeFill="background1"/>
          </w:tcPr>
          <w:p w14:paraId="24DFEA2B" w14:textId="10371CEC" w:rsidR="00E825BF" w:rsidRPr="00FF00DF" w:rsidRDefault="00E825BF" w:rsidP="00E825BF">
            <w:pPr>
              <w:rPr>
                <w:b/>
                <w:bCs/>
              </w:rPr>
            </w:pPr>
            <w:r w:rsidRPr="00FF00DF">
              <w:rPr>
                <w:b/>
                <w:bCs/>
              </w:rPr>
              <w:t xml:space="preserve">Provide a concise contextual overview of your institution, including references to specific parts of the evidence listed </w:t>
            </w:r>
            <w:r w:rsidR="00CC6CC0">
              <w:rPr>
                <w:b/>
                <w:bCs/>
              </w:rPr>
              <w:t xml:space="preserve">in Section 3 </w:t>
            </w:r>
            <w:r w:rsidR="005B7C2C">
              <w:rPr>
                <w:b/>
                <w:bCs/>
              </w:rPr>
              <w:t xml:space="preserve"> </w:t>
            </w:r>
            <w:r w:rsidRPr="00FF00DF">
              <w:rPr>
                <w:b/>
                <w:bCs/>
              </w:rPr>
              <w:t>that support this overview</w:t>
            </w:r>
            <w:r w:rsidR="004B1630">
              <w:rPr>
                <w:b/>
                <w:bCs/>
              </w:rPr>
              <w:t>.</w:t>
            </w:r>
          </w:p>
          <w:p w14:paraId="3D27290C" w14:textId="77777777" w:rsidR="00E825BF" w:rsidRDefault="00E825BF" w:rsidP="00E825BF">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23C08423" w14:textId="77777777" w:rsidR="00E825BF" w:rsidRPr="00AF5B58" w:rsidRDefault="00E825BF" w:rsidP="00DD395B">
            <w:pPr>
              <w:pStyle w:val="QAAnormal"/>
              <w:ind w:right="1134"/>
              <w:rPr>
                <w:rFonts w:cs="Arial"/>
                <w:b/>
                <w:bCs/>
                <w:color w:val="000000" w:themeColor="text1"/>
              </w:rPr>
            </w:pPr>
          </w:p>
        </w:tc>
      </w:tr>
      <w:tr w:rsidR="001E4F5C" w:rsidRPr="00DB3851" w14:paraId="224049C4" w14:textId="77777777" w:rsidTr="00F43D7B">
        <w:trPr>
          <w:trHeight w:val="567"/>
        </w:trPr>
        <w:tc>
          <w:tcPr>
            <w:tcW w:w="14312" w:type="dxa"/>
            <w:shd w:val="clear" w:color="auto" w:fill="C6EAB8"/>
          </w:tcPr>
          <w:p w14:paraId="323E7CA3" w14:textId="382E30E9" w:rsidR="001E4F5C" w:rsidRPr="00FB3756" w:rsidRDefault="001E4F5C" w:rsidP="00B61634">
            <w:pPr>
              <w:rPr>
                <w:b/>
                <w:bCs/>
                <w:sz w:val="24"/>
                <w:szCs w:val="24"/>
              </w:rPr>
            </w:pPr>
            <w:r w:rsidRPr="00FB3756">
              <w:rPr>
                <w:b/>
                <w:bCs/>
                <w:sz w:val="24"/>
                <w:szCs w:val="24"/>
              </w:rPr>
              <w:t>Part 2</w:t>
            </w:r>
          </w:p>
        </w:tc>
      </w:tr>
      <w:tr w:rsidR="00CE14B1" w:rsidRPr="00DB3851" w14:paraId="25F0D437" w14:textId="77777777" w:rsidTr="001E4F5C">
        <w:trPr>
          <w:trHeight w:val="986"/>
        </w:trPr>
        <w:tc>
          <w:tcPr>
            <w:tcW w:w="14312" w:type="dxa"/>
            <w:shd w:val="clear" w:color="auto" w:fill="FFFFFF" w:themeFill="background1"/>
          </w:tcPr>
          <w:p w14:paraId="1D2FE7C5" w14:textId="2D5D47ED" w:rsidR="00C04C53" w:rsidRPr="00FF00DF" w:rsidRDefault="00442D53" w:rsidP="00B61634">
            <w:pPr>
              <w:rPr>
                <w:b/>
                <w:bCs/>
              </w:rPr>
            </w:pPr>
            <w:r w:rsidRPr="00FF00DF">
              <w:rPr>
                <w:b/>
                <w:bCs/>
              </w:rPr>
              <w:t xml:space="preserve">Highlight the parts of your evidence submission (listed in the evidence table </w:t>
            </w:r>
            <w:r w:rsidR="003A27B9" w:rsidRPr="00FF00DF">
              <w:rPr>
                <w:b/>
                <w:bCs/>
              </w:rPr>
              <w:t xml:space="preserve">in </w:t>
            </w:r>
            <w:r w:rsidR="00901757">
              <w:rPr>
                <w:b/>
                <w:bCs/>
              </w:rPr>
              <w:t>S</w:t>
            </w:r>
            <w:r w:rsidR="003A27B9" w:rsidRPr="00FF00DF">
              <w:rPr>
                <w:b/>
                <w:bCs/>
              </w:rPr>
              <w:t>ection 3</w:t>
            </w:r>
            <w:r w:rsidRPr="00FF00DF">
              <w:rPr>
                <w:b/>
                <w:bCs/>
              </w:rPr>
              <w:t xml:space="preserve">) that you consider are particularly relevant </w:t>
            </w:r>
            <w:r w:rsidR="005B7C2C">
              <w:rPr>
                <w:b/>
                <w:bCs/>
              </w:rPr>
              <w:t xml:space="preserve"> </w:t>
            </w:r>
            <w:r w:rsidRPr="00FF00DF">
              <w:rPr>
                <w:b/>
                <w:bCs/>
              </w:rPr>
              <w:t>to this contextual overview.</w:t>
            </w:r>
          </w:p>
          <w:p w14:paraId="428F4E9B" w14:textId="77777777" w:rsidR="00E825BF" w:rsidRDefault="00E825BF" w:rsidP="00E825BF">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0190AAB0" w14:textId="2F5ED845" w:rsidR="00E825BF" w:rsidRDefault="00E825BF" w:rsidP="00B61634">
            <w:pPr>
              <w:rPr>
                <w:rFonts w:eastAsia="Arial"/>
              </w:rPr>
            </w:pPr>
          </w:p>
        </w:tc>
      </w:tr>
    </w:tbl>
    <w:p w14:paraId="2656455A" w14:textId="77777777" w:rsidR="00C45BB3" w:rsidRDefault="00C45BB3" w:rsidP="00C45BB3"/>
    <w:p w14:paraId="0A90C4A5" w14:textId="77777777" w:rsidR="00792A9F" w:rsidRDefault="00792A9F">
      <w:pPr>
        <w:widowControl/>
        <w:spacing w:after="0"/>
        <w:rPr>
          <w:b/>
          <w:color w:val="56AF34"/>
          <w:sz w:val="28"/>
        </w:rPr>
      </w:pPr>
      <w:r>
        <w:br w:type="page"/>
      </w:r>
    </w:p>
    <w:p w14:paraId="74AB90EC" w14:textId="510F8D73" w:rsidR="003527C9" w:rsidRDefault="003527C9" w:rsidP="005D52FE">
      <w:pPr>
        <w:pStyle w:val="Heading2"/>
      </w:pPr>
      <w:r>
        <w:lastRenderedPageBreak/>
        <w:t>Section 2: Alignment with S</w:t>
      </w:r>
      <w:r w:rsidR="00344652">
        <w:t>ector-Agreed Principle</w:t>
      </w:r>
      <w:r>
        <w:t>s</w:t>
      </w:r>
    </w:p>
    <w:p w14:paraId="5995AEDA" w14:textId="7E3A9B32" w:rsidR="005D214A" w:rsidRPr="00D54453" w:rsidRDefault="00A7626D" w:rsidP="00D54453">
      <w:pPr>
        <w:pStyle w:val="Heading3"/>
        <w:rPr>
          <w:b w:val="0"/>
          <w:bCs/>
          <w:color w:val="000000" w:themeColor="text1"/>
        </w:rPr>
      </w:pPr>
      <w:r w:rsidRPr="00A7626D">
        <w:t>C</w:t>
      </w:r>
      <w:r w:rsidR="00C001BA">
        <w:t>ore component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023085" w:rsidRPr="00DB3851" w14:paraId="388FB2B5" w14:textId="77777777" w:rsidTr="00FB3756">
        <w:trPr>
          <w:trHeight w:val="555"/>
        </w:trPr>
        <w:tc>
          <w:tcPr>
            <w:tcW w:w="14312" w:type="dxa"/>
            <w:shd w:val="clear" w:color="auto" w:fill="C6EAB8"/>
          </w:tcPr>
          <w:p w14:paraId="5B881DD7" w14:textId="6E9D1FCB" w:rsidR="00023085" w:rsidRPr="00D32F43" w:rsidRDefault="00852FDD" w:rsidP="003E1D3F">
            <w:pPr>
              <w:spacing w:before="60" w:after="120"/>
              <w:rPr>
                <w:b/>
                <w:bCs/>
                <w:sz w:val="24"/>
                <w:szCs w:val="24"/>
              </w:rPr>
            </w:pPr>
            <w:bookmarkStart w:id="2" w:name="_Hlk174114920"/>
            <w:r w:rsidRPr="00D32F43">
              <w:rPr>
                <w:b/>
                <w:bCs/>
                <w:sz w:val="24"/>
                <w:szCs w:val="24"/>
              </w:rPr>
              <w:t xml:space="preserve">Home Office </w:t>
            </w:r>
            <w:r w:rsidR="00E81705" w:rsidRPr="00D32F43">
              <w:rPr>
                <w:b/>
                <w:bCs/>
                <w:sz w:val="24"/>
                <w:szCs w:val="24"/>
              </w:rPr>
              <w:t>R</w:t>
            </w:r>
            <w:r w:rsidR="00110055" w:rsidRPr="00D32F43">
              <w:rPr>
                <w:b/>
                <w:bCs/>
                <w:sz w:val="24"/>
                <w:szCs w:val="24"/>
              </w:rPr>
              <w:t>equirement</w:t>
            </w:r>
            <w:r w:rsidR="00110055" w:rsidRPr="00D32F43">
              <w:rPr>
                <w:b/>
                <w:bCs/>
                <w:color w:val="FFFFFF" w:themeColor="background1"/>
                <w:sz w:val="24"/>
                <w:szCs w:val="24"/>
              </w:rPr>
              <w:t xml:space="preserve"> </w:t>
            </w:r>
            <w:r w:rsidR="00110055" w:rsidRPr="00D32F43">
              <w:rPr>
                <w:b/>
                <w:bCs/>
                <w:sz w:val="24"/>
                <w:szCs w:val="24"/>
              </w:rPr>
              <w:t>1:</w:t>
            </w:r>
          </w:p>
          <w:p w14:paraId="32246050" w14:textId="7DCB05D1" w:rsidR="00852FDD" w:rsidRDefault="008E0E1F" w:rsidP="003E1D3F">
            <w:pPr>
              <w:spacing w:before="60" w:after="120"/>
              <w:rPr>
                <w:b/>
                <w:bCs/>
                <w:color w:val="FFFFFF" w:themeColor="background1"/>
              </w:rPr>
            </w:pPr>
            <w:r w:rsidRPr="008E0E1F">
              <w:t>The setting and/or maintenance of academic standards by the provider</w:t>
            </w:r>
          </w:p>
        </w:tc>
      </w:tr>
      <w:tr w:rsidR="00383F7F" w:rsidRPr="00DB3851" w14:paraId="71A97E58" w14:textId="77777777" w:rsidTr="00FB3756">
        <w:trPr>
          <w:trHeight w:val="555"/>
        </w:trPr>
        <w:tc>
          <w:tcPr>
            <w:tcW w:w="14312" w:type="dxa"/>
            <w:shd w:val="clear" w:color="auto" w:fill="D9D9D9"/>
          </w:tcPr>
          <w:p w14:paraId="528DE803" w14:textId="1CD9A0A4" w:rsidR="00383F7F" w:rsidRPr="00D32F43" w:rsidRDefault="003D6D88" w:rsidP="00070CEE">
            <w:pPr>
              <w:spacing w:before="60" w:after="120"/>
              <w:rPr>
                <w:b/>
                <w:bCs/>
                <w:color w:val="000000" w:themeColor="text1"/>
                <w:sz w:val="24"/>
                <w:szCs w:val="24"/>
              </w:rPr>
            </w:pPr>
            <w:bookmarkStart w:id="3" w:name="_Hlk155276172"/>
            <w:r w:rsidRPr="00D32F43">
              <w:rPr>
                <w:b/>
                <w:bCs/>
                <w:color w:val="000000" w:themeColor="text1"/>
                <w:sz w:val="24"/>
                <w:szCs w:val="24"/>
              </w:rPr>
              <w:t>Sector-Agreed Principle 1</w:t>
            </w:r>
            <w:r w:rsidR="00C80592" w:rsidRPr="00D32F43">
              <w:rPr>
                <w:b/>
                <w:bCs/>
                <w:color w:val="000000" w:themeColor="text1"/>
                <w:sz w:val="24"/>
                <w:szCs w:val="24"/>
              </w:rPr>
              <w:t>:</w:t>
            </w:r>
            <w:r w:rsidR="00A7389D" w:rsidRPr="00D32F43">
              <w:rPr>
                <w:b/>
                <w:bCs/>
                <w:color w:val="000000" w:themeColor="text1"/>
                <w:sz w:val="24"/>
                <w:szCs w:val="24"/>
              </w:rPr>
              <w:t xml:space="preserve"> Taking a strategic approach to managing quality and standards</w:t>
            </w:r>
          </w:p>
          <w:p w14:paraId="030BAAF0" w14:textId="077EEFB8" w:rsidR="00E72771" w:rsidRPr="00DB3851" w:rsidRDefault="00E72771" w:rsidP="00FB3756">
            <w:pPr>
              <w:spacing w:before="60"/>
              <w:rPr>
                <w:rFonts w:eastAsia="Arial"/>
                <w:b/>
                <w:color w:val="FFFFFF" w:themeColor="background1"/>
                <w:szCs w:val="22"/>
              </w:rPr>
            </w:pPr>
            <w:r w:rsidRPr="00D20A89">
              <w:rPr>
                <w:rStyle w:val="normaltextrun"/>
                <w:rFonts w:cs="Arial"/>
                <w:i/>
                <w:iCs/>
                <w:szCs w:val="22"/>
              </w:rPr>
              <w:t xml:space="preserve">Providers demonstrate they have a strategic approach to securing academic standards and assuring and enhancing quality that is </w:t>
            </w:r>
            <w:r>
              <w:rPr>
                <w:rStyle w:val="normaltextrun"/>
                <w:rFonts w:cs="Arial"/>
                <w:i/>
                <w:iCs/>
                <w:szCs w:val="22"/>
              </w:rPr>
              <w:t xml:space="preserve">        </w:t>
            </w:r>
            <w:r w:rsidRPr="00D20A89">
              <w:rPr>
                <w:rStyle w:val="normaltextrun"/>
                <w:rFonts w:cs="Arial"/>
                <w:i/>
                <w:iCs/>
                <w:szCs w:val="22"/>
              </w:rPr>
              <w:t>embedded across the organisation</w:t>
            </w:r>
            <w:r w:rsidRPr="00D20A89">
              <w:rPr>
                <w:rStyle w:val="normaltextrun"/>
                <w:rFonts w:cs="Arial"/>
                <w:b/>
                <w:bCs/>
                <w:i/>
                <w:iCs/>
                <w:szCs w:val="22"/>
              </w:rPr>
              <w:t>.</w:t>
            </w:r>
          </w:p>
        </w:tc>
      </w:tr>
      <w:tr w:rsidR="00FB5D34" w:rsidRPr="00DB3851" w14:paraId="000633A8" w14:textId="77777777" w:rsidTr="00FB3756">
        <w:trPr>
          <w:trHeight w:val="1839"/>
        </w:trPr>
        <w:tc>
          <w:tcPr>
            <w:tcW w:w="14312" w:type="dxa"/>
            <w:shd w:val="clear" w:color="auto" w:fill="FFFFFF" w:themeFill="background1"/>
          </w:tcPr>
          <w:p w14:paraId="4276ACE5" w14:textId="77777777" w:rsidR="00FB5D34" w:rsidRDefault="00FB5D34" w:rsidP="00D77C2E">
            <w:pPr>
              <w:pStyle w:val="Header"/>
              <w:spacing w:before="60" w:after="60"/>
              <w:rPr>
                <w:b/>
                <w:bCs/>
                <w:color w:val="000000" w:themeColor="text1"/>
                <w:szCs w:val="22"/>
              </w:rPr>
            </w:pPr>
            <w:r w:rsidRPr="00FB5D34">
              <w:rPr>
                <w:b/>
                <w:bCs/>
                <w:color w:val="000000" w:themeColor="text1"/>
                <w:szCs w:val="22"/>
              </w:rPr>
              <w:t>Key Practices</w:t>
            </w:r>
          </w:p>
          <w:p w14:paraId="49C2D023" w14:textId="77777777" w:rsidR="00C54885" w:rsidRDefault="00C54885" w:rsidP="00FB3756">
            <w:pPr>
              <w:pStyle w:val="Header"/>
              <w:spacing w:after="0"/>
              <w:rPr>
                <w:b/>
                <w:bCs/>
                <w:color w:val="000000" w:themeColor="text1"/>
                <w:szCs w:val="22"/>
              </w:rPr>
            </w:pPr>
          </w:p>
          <w:p w14:paraId="565640B1" w14:textId="77777777" w:rsidR="003F1436" w:rsidRPr="00E81705" w:rsidRDefault="003F1436" w:rsidP="00E81705">
            <w:pPr>
              <w:pStyle w:val="BulletedList"/>
            </w:pPr>
            <w:r w:rsidRPr="00E81705">
              <w:t xml:space="preserve">Academic standards and the quality of the student learning experience are the responsibility of each provider. Degree-awarding bodies have </w:t>
            </w:r>
            <w:proofErr w:type="gramStart"/>
            <w:r w:rsidRPr="00E81705">
              <w:t>particular responsibilities</w:t>
            </w:r>
            <w:proofErr w:type="gramEnd"/>
            <w:r w:rsidRPr="00E81705">
              <w:t xml:space="preserve"> for the qualifications offered in their name.</w:t>
            </w:r>
          </w:p>
          <w:p w14:paraId="45FCAA7B" w14:textId="77777777" w:rsidR="003F1436" w:rsidRPr="00E81705" w:rsidRDefault="003F1436" w:rsidP="00E81705">
            <w:pPr>
              <w:pStyle w:val="BulletedList"/>
            </w:pPr>
            <w:r w:rsidRPr="00E81705">
              <w:t>The strategic approach is employed wherever and however provision is delivered and is embedded in the culture and practices of providers.</w:t>
            </w:r>
          </w:p>
          <w:p w14:paraId="092504E8" w14:textId="3986D627" w:rsidR="003F1436" w:rsidRPr="00E81705" w:rsidRDefault="003F1436" w:rsidP="00E81705">
            <w:pPr>
              <w:pStyle w:val="BulletedList"/>
            </w:pPr>
            <w:r w:rsidRPr="00E81705">
              <w:t>The strategic approach aligns with providers</w:t>
            </w:r>
            <w:r w:rsidR="001E4F5C" w:rsidRPr="00E81705">
              <w:t>'</w:t>
            </w:r>
            <w:r w:rsidRPr="00E81705">
              <w:t xml:space="preserve"> policies and practices on equity, equality, diversity and inclusion for students and staff.</w:t>
            </w:r>
          </w:p>
          <w:p w14:paraId="6C39F20C" w14:textId="77777777" w:rsidR="003F1436" w:rsidRPr="00E81705" w:rsidRDefault="003F1436" w:rsidP="00E81705">
            <w:pPr>
              <w:pStyle w:val="BulletedList"/>
            </w:pPr>
            <w:r w:rsidRPr="00E81705">
              <w:t xml:space="preserve">The strategic approach is published and supported by a comprehensive and transparent governance framework that is communicated clearly and is accessible to staff, </w:t>
            </w:r>
            <w:proofErr w:type="gramStart"/>
            <w:r w:rsidRPr="00E81705">
              <w:t>students</w:t>
            </w:r>
            <w:proofErr w:type="gramEnd"/>
            <w:r w:rsidRPr="00E81705">
              <w:t xml:space="preserve"> and external stakeholders.</w:t>
            </w:r>
          </w:p>
          <w:p w14:paraId="0607B84A" w14:textId="63F46AA6" w:rsidR="003F1436" w:rsidRPr="00E81705" w:rsidRDefault="003F1436" w:rsidP="00E81705">
            <w:pPr>
              <w:pStyle w:val="BulletedList"/>
            </w:pPr>
            <w:r w:rsidRPr="00E81705">
              <w:t xml:space="preserve">The strategic approach is monitored, </w:t>
            </w:r>
            <w:proofErr w:type="gramStart"/>
            <w:r w:rsidRPr="00E81705">
              <w:t>evaluated</w:t>
            </w:r>
            <w:proofErr w:type="gramEnd"/>
            <w:r w:rsidRPr="00E81705">
              <w:t xml:space="preserve"> and enhanced on a regular basis.</w:t>
            </w:r>
          </w:p>
          <w:p w14:paraId="4C216475" w14:textId="77777777" w:rsidR="00FB5D34" w:rsidRPr="00E81705" w:rsidRDefault="003F1436" w:rsidP="00E81705">
            <w:pPr>
              <w:pStyle w:val="BulletedList"/>
            </w:pPr>
            <w:r w:rsidRPr="00E81705">
              <w:t>External expertise is a key element of the strategic approach to managing quality and standards.</w:t>
            </w:r>
          </w:p>
          <w:p w14:paraId="29F390C9" w14:textId="7135A128" w:rsidR="00544BAF" w:rsidRPr="003F1436" w:rsidRDefault="00544BAF" w:rsidP="00544BAF">
            <w:pPr>
              <w:pStyle w:val="BulletedList"/>
              <w:numPr>
                <w:ilvl w:val="0"/>
                <w:numId w:val="0"/>
              </w:numPr>
              <w:ind w:left="567"/>
              <w:rPr>
                <w:rFonts w:cs="Arial"/>
                <w:b/>
                <w:bCs/>
                <w:sz w:val="20"/>
              </w:rPr>
            </w:pPr>
          </w:p>
        </w:tc>
      </w:tr>
    </w:tbl>
    <w:p w14:paraId="47F0E399" w14:textId="77777777" w:rsidR="00310D0F" w:rsidRDefault="00310D0F">
      <w:bookmarkStart w:id="4" w:name="_Hlk174113304"/>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E72771" w:rsidRPr="00DB3851" w14:paraId="1776A8C4" w14:textId="77777777" w:rsidTr="00F43D7B">
        <w:trPr>
          <w:trHeight w:val="567"/>
        </w:trPr>
        <w:tc>
          <w:tcPr>
            <w:tcW w:w="14312" w:type="dxa"/>
            <w:shd w:val="clear" w:color="auto" w:fill="C6EAB8"/>
          </w:tcPr>
          <w:p w14:paraId="7898C2D0" w14:textId="278F8513" w:rsidR="00E72771" w:rsidRPr="00FB3756" w:rsidRDefault="00E72771" w:rsidP="00921DEE">
            <w:pPr>
              <w:pStyle w:val="QAAnormal"/>
              <w:ind w:right="1134"/>
              <w:rPr>
                <w:rFonts w:cs="Arial"/>
                <w:b/>
                <w:bCs/>
                <w:color w:val="000000" w:themeColor="text1"/>
                <w:sz w:val="24"/>
                <w:szCs w:val="24"/>
              </w:rPr>
            </w:pPr>
            <w:r w:rsidRPr="00FB3756">
              <w:rPr>
                <w:rFonts w:cs="Arial"/>
                <w:b/>
                <w:bCs/>
                <w:color w:val="000000" w:themeColor="text1"/>
                <w:sz w:val="24"/>
                <w:szCs w:val="24"/>
              </w:rPr>
              <w:lastRenderedPageBreak/>
              <w:t>Part 1</w:t>
            </w:r>
          </w:p>
        </w:tc>
      </w:tr>
      <w:tr w:rsidR="00B606E6" w:rsidRPr="00DB3851" w14:paraId="5EAD47E7" w14:textId="77777777" w:rsidTr="00FB3756">
        <w:trPr>
          <w:trHeight w:val="1839"/>
        </w:trPr>
        <w:tc>
          <w:tcPr>
            <w:tcW w:w="14312" w:type="dxa"/>
            <w:shd w:val="clear" w:color="auto" w:fill="FFFFFF" w:themeFill="background1"/>
          </w:tcPr>
          <w:p w14:paraId="1A5F268A" w14:textId="67139DF2" w:rsidR="003B7E67" w:rsidRPr="007A5850" w:rsidRDefault="00C6347D" w:rsidP="009F0D10">
            <w:pPr>
              <w:pStyle w:val="QAAnormal"/>
              <w:ind w:right="460"/>
              <w:rPr>
                <w:b/>
                <w:bCs/>
                <w:color w:val="000000" w:themeColor="text1"/>
              </w:rPr>
            </w:pPr>
            <w:r w:rsidRPr="007A5850">
              <w:rPr>
                <w:rFonts w:cs="Arial"/>
                <w:b/>
                <w:bCs/>
                <w:color w:val="000000" w:themeColor="text1"/>
              </w:rPr>
              <w:t>List</w:t>
            </w:r>
            <w:r w:rsidR="00900443" w:rsidRPr="007A5850">
              <w:rPr>
                <w:rFonts w:cs="Arial"/>
                <w:b/>
                <w:bCs/>
                <w:color w:val="000000" w:themeColor="text1"/>
              </w:rPr>
              <w:t xml:space="preserve"> </w:t>
            </w:r>
            <w:r w:rsidR="001F7DB5" w:rsidRPr="007A5850">
              <w:rPr>
                <w:rFonts w:cs="Arial"/>
                <w:b/>
                <w:bCs/>
                <w:color w:val="000000" w:themeColor="text1"/>
              </w:rPr>
              <w:t xml:space="preserve">the evidence you believe will assist the review team in making a judgement on whether you </w:t>
            </w:r>
            <w:r w:rsidR="00D0331E" w:rsidRPr="007A5850">
              <w:rPr>
                <w:rFonts w:cs="Arial"/>
                <w:b/>
                <w:bCs/>
                <w:color w:val="000000" w:themeColor="text1"/>
              </w:rPr>
              <w:t>demonstrate adherence to</w:t>
            </w:r>
            <w:r w:rsidR="00AD3FBB" w:rsidRPr="007A5850">
              <w:rPr>
                <w:rFonts w:cs="Arial"/>
                <w:b/>
                <w:bCs/>
                <w:color w:val="000000" w:themeColor="text1"/>
              </w:rPr>
              <w:t xml:space="preserve"> </w:t>
            </w:r>
            <w:r w:rsidR="00DD0ABF">
              <w:rPr>
                <w:rFonts w:cs="Arial"/>
                <w:b/>
                <w:bCs/>
                <w:color w:val="000000" w:themeColor="text1"/>
              </w:rPr>
              <w:t xml:space="preserve"> </w:t>
            </w:r>
            <w:r w:rsidR="001F7DB5" w:rsidRPr="007A5850">
              <w:rPr>
                <w:rFonts w:cs="Arial"/>
                <w:b/>
                <w:bCs/>
                <w:color w:val="000000" w:themeColor="text1"/>
              </w:rPr>
              <w:t>Se</w:t>
            </w:r>
            <w:r w:rsidR="001F7DB5" w:rsidRPr="007A5850">
              <w:rPr>
                <w:b/>
                <w:bCs/>
                <w:color w:val="000000" w:themeColor="text1"/>
              </w:rPr>
              <w:t>ctor-Agreed Principle</w:t>
            </w:r>
            <w:r w:rsidR="00FF035A" w:rsidRPr="007A5850">
              <w:rPr>
                <w:b/>
                <w:bCs/>
                <w:color w:val="000000" w:themeColor="text1"/>
              </w:rPr>
              <w:t xml:space="preserve"> 1</w:t>
            </w:r>
            <w:r w:rsidR="001F7DB5" w:rsidRPr="007A5850">
              <w:rPr>
                <w:rFonts w:cs="Arial"/>
                <w:b/>
                <w:bCs/>
                <w:color w:val="000000" w:themeColor="text1"/>
              </w:rPr>
              <w:t>.</w:t>
            </w:r>
            <w:r w:rsidR="00867FB2" w:rsidRPr="007A5850">
              <w:rPr>
                <w:b/>
                <w:bCs/>
                <w:color w:val="000000" w:themeColor="text1"/>
              </w:rPr>
              <w:t xml:space="preserve"> </w:t>
            </w:r>
          </w:p>
          <w:p w14:paraId="37B459A6" w14:textId="77777777" w:rsidR="00CA3F61" w:rsidRDefault="00CA3F61" w:rsidP="009F0D10">
            <w:pPr>
              <w:pStyle w:val="QAAnormal"/>
              <w:ind w:right="460"/>
              <w:rPr>
                <w:rFonts w:cs="Arial"/>
                <w:i/>
                <w:iCs/>
                <w:color w:val="000000" w:themeColor="text1"/>
              </w:rPr>
            </w:pPr>
          </w:p>
          <w:p w14:paraId="7C4A8245" w14:textId="77777777" w:rsidR="00C2103F" w:rsidRDefault="00C2103F" w:rsidP="00C2103F">
            <w:pPr>
              <w:pStyle w:val="QAAnormal"/>
              <w:ind w:right="1134"/>
              <w:rPr>
                <w:i/>
                <w:iCs/>
              </w:rPr>
            </w:pPr>
            <w:r>
              <w:rPr>
                <w:i/>
                <w:iCs/>
              </w:rPr>
              <w:t>[Add text]</w:t>
            </w:r>
          </w:p>
          <w:p w14:paraId="24E7DE30" w14:textId="77777777" w:rsidR="00C2103F" w:rsidRDefault="00C2103F" w:rsidP="009F0D10">
            <w:pPr>
              <w:pStyle w:val="QAAnormal"/>
              <w:ind w:right="460"/>
              <w:rPr>
                <w:rFonts w:cs="Arial"/>
                <w:i/>
                <w:iCs/>
                <w:color w:val="000000" w:themeColor="text1"/>
              </w:rPr>
            </w:pPr>
          </w:p>
          <w:p w14:paraId="1C4A04F7" w14:textId="6A33544B" w:rsidR="003B7E67" w:rsidRPr="70FB7DD3" w:rsidRDefault="003B7E67" w:rsidP="00921DEE">
            <w:pPr>
              <w:pStyle w:val="QAAnormal"/>
              <w:ind w:right="1134"/>
              <w:rPr>
                <w:rFonts w:cs="Arial"/>
                <w:color w:val="000000" w:themeColor="text1"/>
              </w:rPr>
            </w:pPr>
          </w:p>
        </w:tc>
      </w:tr>
      <w:tr w:rsidR="00E72771" w:rsidRPr="00DB3851" w14:paraId="00480021" w14:textId="77777777" w:rsidTr="00F43D7B">
        <w:trPr>
          <w:trHeight w:val="567"/>
        </w:trPr>
        <w:tc>
          <w:tcPr>
            <w:tcW w:w="14312" w:type="dxa"/>
            <w:shd w:val="clear" w:color="auto" w:fill="C6EAB8"/>
          </w:tcPr>
          <w:p w14:paraId="49C75D02" w14:textId="52D18172" w:rsidR="00E72771" w:rsidRPr="00FB3756" w:rsidDel="00E72771" w:rsidRDefault="00E72771" w:rsidP="00863A6A">
            <w:pPr>
              <w:pStyle w:val="QAAnormal"/>
              <w:ind w:right="460"/>
              <w:rPr>
                <w:rFonts w:cs="Arial"/>
                <w:b/>
                <w:bCs/>
                <w:color w:val="000000" w:themeColor="text1"/>
                <w:sz w:val="24"/>
                <w:szCs w:val="24"/>
              </w:rPr>
            </w:pPr>
            <w:r w:rsidRPr="00FB3756">
              <w:rPr>
                <w:rFonts w:cs="Arial"/>
                <w:b/>
                <w:bCs/>
                <w:color w:val="000000" w:themeColor="text1"/>
                <w:sz w:val="24"/>
                <w:szCs w:val="24"/>
              </w:rPr>
              <w:t>Part 2</w:t>
            </w:r>
          </w:p>
        </w:tc>
      </w:tr>
      <w:tr w:rsidR="00863A6A" w:rsidRPr="00DB3851" w14:paraId="2E367531" w14:textId="77777777" w:rsidTr="00FB3756">
        <w:trPr>
          <w:trHeight w:val="1839"/>
        </w:trPr>
        <w:tc>
          <w:tcPr>
            <w:tcW w:w="14312" w:type="dxa"/>
            <w:shd w:val="clear" w:color="auto" w:fill="FFFFFF" w:themeFill="background1"/>
          </w:tcPr>
          <w:p w14:paraId="70962BB3" w14:textId="77777777" w:rsidR="00863A6A" w:rsidRPr="007A5850" w:rsidRDefault="00863A6A" w:rsidP="00DD0ABF">
            <w:pPr>
              <w:pStyle w:val="QAAnormal"/>
              <w:ind w:right="284"/>
              <w:rPr>
                <w:b/>
                <w:bCs/>
              </w:rPr>
            </w:pPr>
            <w:r w:rsidRPr="007A5850">
              <w:rPr>
                <w:b/>
                <w:bCs/>
              </w:rPr>
              <w:t>Highlight which parts of your evidence submission (listed in the evidence table above) the review team may wish to consider when forming a judgement as to whether you demonstrate adherence to Sector-Agreed Principle 1. Where applicable, include references to specific parts, sections or paragraphs of documents.</w:t>
            </w:r>
          </w:p>
          <w:p w14:paraId="14E19C29" w14:textId="77777777" w:rsidR="00863A6A" w:rsidRDefault="00863A6A" w:rsidP="00863A6A">
            <w:pPr>
              <w:pStyle w:val="QAAnormal"/>
              <w:ind w:right="1134"/>
            </w:pPr>
          </w:p>
          <w:p w14:paraId="464FF10C" w14:textId="77777777" w:rsidR="00863A6A" w:rsidRDefault="00863A6A" w:rsidP="00863A6A">
            <w:pPr>
              <w:pStyle w:val="QAAnormal"/>
              <w:ind w:right="1134"/>
              <w:rPr>
                <w:i/>
                <w:iCs/>
              </w:rPr>
            </w:pPr>
            <w:r>
              <w:rPr>
                <w:i/>
                <w:iCs/>
              </w:rPr>
              <w:t>[Add text]</w:t>
            </w:r>
          </w:p>
          <w:p w14:paraId="17E84FF4" w14:textId="77777777" w:rsidR="00863A6A" w:rsidRPr="00D6558D" w:rsidRDefault="00863A6A" w:rsidP="00863A6A">
            <w:pPr>
              <w:pStyle w:val="QAAnormal"/>
              <w:ind w:right="1134"/>
            </w:pPr>
          </w:p>
          <w:p w14:paraId="0583D95D" w14:textId="77777777" w:rsidR="00863A6A" w:rsidRPr="002E267A" w:rsidRDefault="00863A6A" w:rsidP="002E267A">
            <w:pPr>
              <w:pStyle w:val="QAAnormal"/>
              <w:ind w:right="460"/>
              <w:rPr>
                <w:rFonts w:cs="Arial"/>
                <w:b/>
                <w:bCs/>
                <w:color w:val="000000" w:themeColor="text1"/>
              </w:rPr>
            </w:pPr>
          </w:p>
        </w:tc>
      </w:tr>
      <w:tr w:rsidR="00E72771" w:rsidRPr="00DB3851" w14:paraId="3390C071" w14:textId="77777777" w:rsidTr="00F43D7B">
        <w:trPr>
          <w:trHeight w:val="567"/>
        </w:trPr>
        <w:tc>
          <w:tcPr>
            <w:tcW w:w="14312" w:type="dxa"/>
            <w:shd w:val="clear" w:color="auto" w:fill="C6EAB8"/>
          </w:tcPr>
          <w:p w14:paraId="5EC12AB8" w14:textId="2A9C8D85" w:rsidR="00E72771" w:rsidRPr="00FB3756" w:rsidRDefault="00E72771" w:rsidP="002E267A">
            <w:pPr>
              <w:pStyle w:val="QAAnormal"/>
              <w:ind w:right="460"/>
              <w:rPr>
                <w:rFonts w:cs="Arial"/>
                <w:b/>
                <w:bCs/>
                <w:color w:val="000000" w:themeColor="text1"/>
                <w:sz w:val="24"/>
                <w:szCs w:val="24"/>
              </w:rPr>
            </w:pPr>
            <w:r w:rsidRPr="00FB3756">
              <w:rPr>
                <w:rFonts w:cs="Arial"/>
                <w:b/>
                <w:bCs/>
                <w:color w:val="000000" w:themeColor="text1"/>
                <w:sz w:val="24"/>
                <w:szCs w:val="24"/>
              </w:rPr>
              <w:t>Part 3</w:t>
            </w:r>
          </w:p>
        </w:tc>
      </w:tr>
      <w:tr w:rsidR="00CE2AC3" w:rsidRPr="00DB3851" w14:paraId="69A1998A" w14:textId="77777777" w:rsidTr="00FB3756">
        <w:trPr>
          <w:trHeight w:val="1839"/>
        </w:trPr>
        <w:tc>
          <w:tcPr>
            <w:tcW w:w="14312" w:type="dxa"/>
            <w:shd w:val="clear" w:color="auto" w:fill="FFFFFF" w:themeFill="background1"/>
          </w:tcPr>
          <w:p w14:paraId="7736F057" w14:textId="77777777" w:rsidR="00CE2AC3" w:rsidRPr="007A5850" w:rsidRDefault="00CE2AC3" w:rsidP="00AA46A3">
            <w:pPr>
              <w:pStyle w:val="QAAnormal"/>
              <w:tabs>
                <w:tab w:val="left" w:pos="10080"/>
              </w:tabs>
              <w:ind w:right="1134"/>
              <w:rPr>
                <w:b/>
                <w:bCs/>
                <w:color w:val="000000" w:themeColor="text1"/>
              </w:rPr>
            </w:pPr>
            <w:bookmarkStart w:id="5" w:name="_Hlk174113329"/>
            <w:bookmarkEnd w:id="3"/>
            <w:bookmarkEnd w:id="4"/>
            <w:r w:rsidRPr="007A5850">
              <w:rPr>
                <w:b/>
                <w:bCs/>
                <w:color w:val="000000" w:themeColor="text1"/>
              </w:rPr>
              <w:t>Detail why you consider this evidence demonstrates that you adhere to Sector-Agreed Principle 1.</w:t>
            </w:r>
            <w:r w:rsidR="00D327ED" w:rsidRPr="007A5850">
              <w:rPr>
                <w:b/>
                <w:bCs/>
                <w:color w:val="000000" w:themeColor="text1"/>
              </w:rPr>
              <w:t xml:space="preserve"> </w:t>
            </w:r>
            <w:r w:rsidR="00AA46A3" w:rsidRPr="007A5850">
              <w:rPr>
                <w:b/>
                <w:bCs/>
                <w:color w:val="000000" w:themeColor="text1"/>
              </w:rPr>
              <w:tab/>
            </w:r>
          </w:p>
          <w:p w14:paraId="262CE54A" w14:textId="77777777" w:rsidR="00C2103F" w:rsidRDefault="00C2103F" w:rsidP="00AA46A3">
            <w:pPr>
              <w:pStyle w:val="QAAnormal"/>
              <w:tabs>
                <w:tab w:val="left" w:pos="10080"/>
              </w:tabs>
              <w:ind w:right="1134"/>
              <w:rPr>
                <w:color w:val="000000" w:themeColor="text1"/>
              </w:rPr>
            </w:pPr>
          </w:p>
          <w:p w14:paraId="750BAECE" w14:textId="77777777" w:rsidR="00C2103F" w:rsidRDefault="00C2103F" w:rsidP="00C2103F">
            <w:pPr>
              <w:pStyle w:val="QAAnormal"/>
              <w:ind w:right="1134"/>
              <w:rPr>
                <w:i/>
                <w:iCs/>
              </w:rPr>
            </w:pPr>
            <w:r>
              <w:rPr>
                <w:i/>
                <w:iCs/>
              </w:rPr>
              <w:t>[Add text]</w:t>
            </w:r>
          </w:p>
          <w:p w14:paraId="770E276E" w14:textId="77777777" w:rsidR="00C2103F" w:rsidRDefault="00C2103F" w:rsidP="00AA46A3">
            <w:pPr>
              <w:pStyle w:val="QAAnormal"/>
              <w:tabs>
                <w:tab w:val="left" w:pos="10080"/>
              </w:tabs>
              <w:ind w:right="1134"/>
              <w:rPr>
                <w:color w:val="000000" w:themeColor="text1"/>
              </w:rPr>
            </w:pPr>
          </w:p>
          <w:p w14:paraId="2B12E559" w14:textId="77777777" w:rsidR="00D6558D" w:rsidRDefault="00D6558D" w:rsidP="00AA46A3">
            <w:pPr>
              <w:pStyle w:val="QAAnormal"/>
              <w:tabs>
                <w:tab w:val="left" w:pos="10080"/>
              </w:tabs>
              <w:ind w:right="1134"/>
              <w:rPr>
                <w:color w:val="000000" w:themeColor="text1"/>
              </w:rPr>
            </w:pPr>
          </w:p>
          <w:p w14:paraId="73C38781" w14:textId="2D9532BE" w:rsidR="00D6558D" w:rsidRPr="00D6558D" w:rsidRDefault="00D6558D" w:rsidP="00AA46A3">
            <w:pPr>
              <w:pStyle w:val="QAAnormal"/>
              <w:tabs>
                <w:tab w:val="left" w:pos="10080"/>
              </w:tabs>
              <w:ind w:right="1134"/>
              <w:rPr>
                <w:color w:val="000000" w:themeColor="text1"/>
              </w:rPr>
            </w:pPr>
          </w:p>
          <w:p w14:paraId="06C8B44D" w14:textId="77777777" w:rsidR="00AA46A3" w:rsidRDefault="00AA46A3" w:rsidP="00AA46A3">
            <w:pPr>
              <w:pStyle w:val="QAAnormal"/>
              <w:tabs>
                <w:tab w:val="left" w:pos="10080"/>
              </w:tabs>
              <w:ind w:right="1134"/>
              <w:rPr>
                <w:rFonts w:cs="Arial"/>
                <w:color w:val="000000" w:themeColor="text1"/>
              </w:rPr>
            </w:pPr>
          </w:p>
          <w:p w14:paraId="0967AE97" w14:textId="04752FB1" w:rsidR="00CE2AC3" w:rsidRPr="00656674" w:rsidRDefault="00CE2AC3" w:rsidP="00AA46A3">
            <w:pPr>
              <w:pStyle w:val="QAAnormal"/>
              <w:tabs>
                <w:tab w:val="left" w:pos="10080"/>
              </w:tabs>
              <w:ind w:right="1134"/>
              <w:rPr>
                <w:rFonts w:cs="Arial"/>
                <w:i/>
                <w:color w:val="000000" w:themeColor="text1"/>
              </w:rPr>
            </w:pPr>
          </w:p>
        </w:tc>
      </w:tr>
    </w:tbl>
    <w:bookmarkEnd w:id="2"/>
    <w:bookmarkEnd w:id="5"/>
    <w:p w14:paraId="1C80433F" w14:textId="448E1616" w:rsidR="00DD0ABF" w:rsidRDefault="00DD0ABF" w:rsidP="00DD0ABF">
      <w:pPr>
        <w:rPr>
          <w:i/>
          <w:iCs/>
          <w:sz w:val="20"/>
        </w:rPr>
      </w:pPr>
      <w:r w:rsidRPr="4CD64A79">
        <w:rPr>
          <w:i/>
          <w:iCs/>
          <w:sz w:val="20"/>
        </w:rPr>
        <w:t>The table above will expand accordingly - the size of the table in this template is not an indicator as to the amount of detail you may provide.</w:t>
      </w:r>
    </w:p>
    <w:p w14:paraId="3F8CEFAE" w14:textId="4D001D90" w:rsidR="00DD0ABF" w:rsidRDefault="00DD0ABF">
      <w:pPr>
        <w:widowControl/>
        <w:spacing w:after="0"/>
      </w:pPr>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2B0BA8" w:rsidRPr="00DB3851" w14:paraId="49D640C5" w14:textId="77777777" w:rsidTr="002B0BA8">
        <w:trPr>
          <w:trHeight w:val="555"/>
        </w:trPr>
        <w:tc>
          <w:tcPr>
            <w:tcW w:w="14312" w:type="dxa"/>
            <w:tcBorders>
              <w:top w:val="single" w:sz="4" w:space="0" w:color="auto"/>
            </w:tcBorders>
            <w:shd w:val="clear" w:color="auto" w:fill="C6EAB8"/>
          </w:tcPr>
          <w:p w14:paraId="1C472698" w14:textId="073B74D8" w:rsidR="002B0BA8" w:rsidRPr="00D32F43" w:rsidRDefault="002B0BA8" w:rsidP="002B0BA8">
            <w:pPr>
              <w:spacing w:before="60" w:after="120"/>
              <w:rPr>
                <w:b/>
                <w:bCs/>
                <w:sz w:val="24"/>
                <w:szCs w:val="24"/>
              </w:rPr>
            </w:pPr>
            <w:r w:rsidRPr="00D32F43">
              <w:rPr>
                <w:b/>
                <w:bCs/>
                <w:sz w:val="24"/>
                <w:szCs w:val="24"/>
              </w:rPr>
              <w:lastRenderedPageBreak/>
              <w:t>Home Office Requirement</w:t>
            </w:r>
            <w:r w:rsidRPr="00D32F43">
              <w:rPr>
                <w:b/>
                <w:bCs/>
                <w:color w:val="FFFFFF" w:themeColor="background1"/>
                <w:sz w:val="24"/>
                <w:szCs w:val="24"/>
              </w:rPr>
              <w:t xml:space="preserve"> </w:t>
            </w:r>
            <w:r w:rsidRPr="00D32F43">
              <w:rPr>
                <w:b/>
                <w:bCs/>
                <w:sz w:val="24"/>
                <w:szCs w:val="24"/>
              </w:rPr>
              <w:t>1:</w:t>
            </w:r>
          </w:p>
          <w:p w14:paraId="00E77092" w14:textId="70A051E8" w:rsidR="002B0BA8" w:rsidRPr="00BC4CEB" w:rsidRDefault="002B0BA8" w:rsidP="002B0BA8">
            <w:pPr>
              <w:spacing w:before="60" w:after="120"/>
              <w:rPr>
                <w:b/>
                <w:bCs/>
                <w:color w:val="000000" w:themeColor="text1"/>
                <w:sz w:val="24"/>
                <w:szCs w:val="24"/>
              </w:rPr>
            </w:pPr>
            <w:r w:rsidRPr="008E0E1F">
              <w:t>The setting and/or maintenance of academic standards by the provider</w:t>
            </w:r>
          </w:p>
        </w:tc>
      </w:tr>
      <w:tr w:rsidR="00D92624" w:rsidRPr="00DB3851" w14:paraId="664B4ED8" w14:textId="77777777" w:rsidTr="00B8126E">
        <w:trPr>
          <w:trHeight w:val="555"/>
        </w:trPr>
        <w:tc>
          <w:tcPr>
            <w:tcW w:w="14312" w:type="dxa"/>
            <w:tcBorders>
              <w:top w:val="nil"/>
            </w:tcBorders>
            <w:shd w:val="clear" w:color="auto" w:fill="D9D9D9"/>
          </w:tcPr>
          <w:p w14:paraId="6BBCB204" w14:textId="0EFE308E" w:rsidR="00D92624" w:rsidRPr="00BC4CEB" w:rsidRDefault="00D92624" w:rsidP="00070CEE">
            <w:pPr>
              <w:spacing w:before="60" w:after="120"/>
              <w:rPr>
                <w:b/>
                <w:bCs/>
                <w:color w:val="000000" w:themeColor="text1"/>
                <w:sz w:val="24"/>
                <w:szCs w:val="24"/>
              </w:rPr>
            </w:pPr>
            <w:r w:rsidRPr="00BC4CEB">
              <w:rPr>
                <w:b/>
                <w:bCs/>
                <w:color w:val="000000" w:themeColor="text1"/>
                <w:sz w:val="24"/>
                <w:szCs w:val="24"/>
              </w:rPr>
              <w:t xml:space="preserve">Sector-Agreed Principle </w:t>
            </w:r>
            <w:r w:rsidR="00E803BE" w:rsidRPr="00BC4CEB">
              <w:rPr>
                <w:b/>
                <w:bCs/>
                <w:color w:val="000000" w:themeColor="text1"/>
                <w:sz w:val="24"/>
                <w:szCs w:val="24"/>
              </w:rPr>
              <w:t>7</w:t>
            </w:r>
            <w:r w:rsidR="00FB3756" w:rsidRPr="00BC4CEB">
              <w:rPr>
                <w:b/>
                <w:bCs/>
                <w:color w:val="000000" w:themeColor="text1"/>
                <w:sz w:val="24"/>
                <w:szCs w:val="24"/>
              </w:rPr>
              <w:t>:</w:t>
            </w:r>
            <w:r w:rsidRPr="00BC4CEB">
              <w:rPr>
                <w:b/>
                <w:bCs/>
                <w:color w:val="000000" w:themeColor="text1"/>
                <w:sz w:val="24"/>
                <w:szCs w:val="24"/>
              </w:rPr>
              <w:t xml:space="preserve"> </w:t>
            </w:r>
            <w:r w:rsidR="00E803BE" w:rsidRPr="00BC4CEB">
              <w:rPr>
                <w:b/>
                <w:bCs/>
                <w:color w:val="000000" w:themeColor="text1"/>
                <w:sz w:val="24"/>
                <w:szCs w:val="24"/>
              </w:rPr>
              <w:t xml:space="preserve">Designing, developing, </w:t>
            </w:r>
            <w:proofErr w:type="gramStart"/>
            <w:r w:rsidR="00E803BE" w:rsidRPr="00BC4CEB">
              <w:rPr>
                <w:b/>
                <w:bCs/>
                <w:color w:val="000000" w:themeColor="text1"/>
                <w:sz w:val="24"/>
                <w:szCs w:val="24"/>
              </w:rPr>
              <w:t>approving</w:t>
            </w:r>
            <w:proofErr w:type="gramEnd"/>
            <w:r w:rsidR="00E803BE" w:rsidRPr="00BC4CEB">
              <w:rPr>
                <w:b/>
                <w:bCs/>
                <w:color w:val="000000" w:themeColor="text1"/>
                <w:sz w:val="24"/>
                <w:szCs w:val="24"/>
              </w:rPr>
              <w:t xml:space="preserve"> and modifying programmes</w:t>
            </w:r>
          </w:p>
          <w:p w14:paraId="057B4D26" w14:textId="3F00C9C1" w:rsidR="00FB3756" w:rsidRPr="00FB3756" w:rsidRDefault="00FB3756" w:rsidP="00FB3756">
            <w:pPr>
              <w:spacing w:before="40"/>
              <w:ind w:left="57" w:right="227"/>
              <w:rPr>
                <w:rFonts w:eastAsia="Arial"/>
                <w:b/>
                <w:color w:val="000000" w:themeColor="text1"/>
                <w:szCs w:val="22"/>
              </w:rPr>
            </w:pPr>
            <w:r w:rsidRPr="00FF01D2">
              <w:rPr>
                <w:rFonts w:cs="Arial"/>
                <w:i/>
                <w:iCs/>
                <w:szCs w:val="22"/>
              </w:rPr>
              <w:t xml:space="preserve">Providers design, develop, </w:t>
            </w:r>
            <w:proofErr w:type="gramStart"/>
            <w:r w:rsidRPr="00FF01D2">
              <w:rPr>
                <w:rFonts w:cs="Arial"/>
                <w:i/>
                <w:iCs/>
                <w:szCs w:val="22"/>
              </w:rPr>
              <w:t>approve</w:t>
            </w:r>
            <w:proofErr w:type="gramEnd"/>
            <w:r w:rsidRPr="00FF01D2">
              <w:rPr>
                <w:rFonts w:cs="Arial"/>
                <w:i/>
                <w:iCs/>
                <w:szCs w:val="22"/>
              </w:rPr>
              <w:t xml:space="preserve"> and modify programmes and modules to ensure the quality of provision and the academic standards of awards are consistent with the relevant Qualifications Framework. Providers ensure their provision and level of qualifications are comparable to those offered across the UK and, where applicable, </w:t>
            </w:r>
            <w:hyperlink r:id="rId13" w:history="1">
              <w:r w:rsidRPr="00FF01D2">
                <w:rPr>
                  <w:rStyle w:val="Hyperlink"/>
                  <w:rFonts w:cs="Arial"/>
                  <w:i/>
                  <w:iCs/>
                  <w:szCs w:val="22"/>
                </w:rPr>
                <w:t xml:space="preserve">The Framework </w:t>
              </w:r>
              <w:r>
                <w:rPr>
                  <w:rStyle w:val="Hyperlink"/>
                  <w:rFonts w:cs="Arial"/>
                  <w:i/>
                  <w:iCs/>
                  <w:szCs w:val="22"/>
                </w:rPr>
                <w:t>for</w:t>
              </w:r>
              <w:r w:rsidRPr="00FF01D2">
                <w:rPr>
                  <w:rStyle w:val="Hyperlink"/>
                  <w:rFonts w:cs="Arial"/>
                  <w:i/>
                  <w:iCs/>
                  <w:szCs w:val="22"/>
                </w:rPr>
                <w:t xml:space="preserve"> Qualifications </w:t>
              </w:r>
              <w:r>
                <w:rPr>
                  <w:rStyle w:val="Hyperlink"/>
                  <w:rFonts w:cs="Arial"/>
                  <w:i/>
                  <w:iCs/>
                  <w:szCs w:val="22"/>
                </w:rPr>
                <w:t>of</w:t>
              </w:r>
              <w:r w:rsidRPr="00FF01D2">
                <w:rPr>
                  <w:rStyle w:val="Hyperlink"/>
                  <w:rFonts w:cs="Arial"/>
                  <w:i/>
                  <w:iCs/>
                  <w:szCs w:val="22"/>
                </w:rPr>
                <w:t xml:space="preserve"> the European Higher Education Area.</w:t>
              </w:r>
            </w:hyperlink>
          </w:p>
        </w:tc>
      </w:tr>
      <w:tr w:rsidR="00A41E95" w:rsidRPr="009813A6" w14:paraId="0E895C07" w14:textId="77777777" w:rsidTr="00B51079">
        <w:trPr>
          <w:trHeight w:val="1839"/>
        </w:trPr>
        <w:tc>
          <w:tcPr>
            <w:tcW w:w="14312" w:type="dxa"/>
            <w:shd w:val="clear" w:color="auto" w:fill="FFFFFF" w:themeFill="background1"/>
          </w:tcPr>
          <w:p w14:paraId="28B69759" w14:textId="405497CA" w:rsidR="00A12DF2" w:rsidRPr="00A12DF2" w:rsidRDefault="00A12DF2" w:rsidP="00070CEE">
            <w:pPr>
              <w:pStyle w:val="BulletedList"/>
              <w:numPr>
                <w:ilvl w:val="0"/>
                <w:numId w:val="0"/>
              </w:numPr>
              <w:spacing w:before="60" w:after="0"/>
              <w:rPr>
                <w:b/>
                <w:bCs/>
              </w:rPr>
            </w:pPr>
            <w:r w:rsidRPr="00A12DF2">
              <w:rPr>
                <w:b/>
                <w:bCs/>
              </w:rPr>
              <w:t>Key Practices</w:t>
            </w:r>
          </w:p>
          <w:p w14:paraId="291DABE8" w14:textId="77777777" w:rsidR="00A12DF2" w:rsidRDefault="00A12DF2" w:rsidP="00A12DF2">
            <w:pPr>
              <w:pStyle w:val="BulletedList"/>
              <w:numPr>
                <w:ilvl w:val="0"/>
                <w:numId w:val="0"/>
              </w:numPr>
              <w:ind w:left="567"/>
            </w:pPr>
          </w:p>
          <w:p w14:paraId="1C09956D" w14:textId="45B76EAD" w:rsidR="00A41E95" w:rsidRPr="009813A6" w:rsidRDefault="00A41E95" w:rsidP="000B3872">
            <w:pPr>
              <w:pStyle w:val="BulletedList"/>
              <w:numPr>
                <w:ilvl w:val="0"/>
                <w:numId w:val="31"/>
              </w:numPr>
              <w:ind w:left="567" w:right="227" w:hanging="567"/>
            </w:pPr>
            <w:r w:rsidRPr="009813A6">
              <w:t>All programmes and modules meet academic standards that are consistent with national qualifications and credit frameworks. Where applicable, provision also meets professional body and accreditation requirements, and apprenticeship standards.</w:t>
            </w:r>
          </w:p>
          <w:p w14:paraId="36B63C36" w14:textId="77777777" w:rsidR="00A41E95" w:rsidRPr="009813A6" w:rsidRDefault="00A41E95" w:rsidP="000B3872">
            <w:pPr>
              <w:pStyle w:val="BulletedList"/>
              <w:ind w:right="227"/>
            </w:pPr>
            <w:r w:rsidRPr="009813A6">
              <w:t xml:space="preserve">A definitive set of documents are produced from the design, development, </w:t>
            </w:r>
            <w:proofErr w:type="gramStart"/>
            <w:r w:rsidRPr="009813A6">
              <w:t>approval</w:t>
            </w:r>
            <w:proofErr w:type="gramEnd"/>
            <w:r w:rsidRPr="009813A6">
              <w:t xml:space="preserve"> and modification processes, which are held securely and act as the primary source of information about each programme. Similar but proportionate arrangements are in place for modules and smaller units of study.</w:t>
            </w:r>
          </w:p>
          <w:p w14:paraId="0830A449" w14:textId="77F57DA0" w:rsidR="00A41E95" w:rsidRPr="009813A6" w:rsidRDefault="00A41E95" w:rsidP="000B3872">
            <w:pPr>
              <w:pStyle w:val="BulletedList"/>
              <w:ind w:right="227"/>
            </w:pPr>
            <w:r w:rsidRPr="009813A6">
              <w:t>The award to be received, and how outcomes of study are recorded and certificated</w:t>
            </w:r>
            <w:r w:rsidR="00E64992">
              <w:t>,</w:t>
            </w:r>
            <w:r w:rsidRPr="009813A6">
              <w:t xml:space="preserve"> are made clear to all students and staff involved in the teaching, learning and evaluation of the programme and module.</w:t>
            </w:r>
          </w:p>
          <w:p w14:paraId="4D1B2EA1" w14:textId="5D41C2B1" w:rsidR="00A41E95" w:rsidRPr="009813A6" w:rsidRDefault="00A41E95" w:rsidP="000B3872">
            <w:pPr>
              <w:pStyle w:val="BulletedList"/>
              <w:ind w:right="227"/>
            </w:pPr>
            <w:r w:rsidRPr="009813A6">
              <w:t>Policies and processes that support the design, development, approval and modification and review of programmes and modules are published on each provider</w:t>
            </w:r>
            <w:r w:rsidR="001E4F5C" w:rsidRPr="009813A6">
              <w:t>'</w:t>
            </w:r>
            <w:r w:rsidRPr="009813A6">
              <w:t>s website and are easily accessible to key stakeholders.</w:t>
            </w:r>
          </w:p>
          <w:p w14:paraId="26D8B37A" w14:textId="77777777" w:rsidR="00A41E95" w:rsidRPr="009813A6" w:rsidRDefault="00A41E95" w:rsidP="000B3872">
            <w:pPr>
              <w:pStyle w:val="BulletedList"/>
              <w:ind w:right="227"/>
            </w:pPr>
            <w:r w:rsidRPr="009813A6">
              <w:t xml:space="preserve">External engagement and evaluation form a component part of the design, development, </w:t>
            </w:r>
            <w:proofErr w:type="gramStart"/>
            <w:r w:rsidRPr="009813A6">
              <w:t>approval</w:t>
            </w:r>
            <w:proofErr w:type="gramEnd"/>
            <w:r w:rsidRPr="009813A6">
              <w:t xml:space="preserve"> and modification process.</w:t>
            </w:r>
          </w:p>
          <w:p w14:paraId="626A12C1" w14:textId="57E515EC" w:rsidR="00A41E95" w:rsidRPr="009813A6" w:rsidRDefault="00A41E95" w:rsidP="000B3872">
            <w:pPr>
              <w:pStyle w:val="BulletedList"/>
              <w:ind w:right="227"/>
            </w:pPr>
            <w:r w:rsidRPr="009813A6">
              <w:t xml:space="preserve">The design, development, </w:t>
            </w:r>
            <w:proofErr w:type="gramStart"/>
            <w:r w:rsidRPr="009813A6">
              <w:t>approval</w:t>
            </w:r>
            <w:proofErr w:type="gramEnd"/>
            <w:r w:rsidRPr="009813A6">
              <w:t xml:space="preserve"> and modification processes align with providers</w:t>
            </w:r>
            <w:r w:rsidR="001E4F5C" w:rsidRPr="009813A6">
              <w:t>'</w:t>
            </w:r>
            <w:r w:rsidRPr="009813A6">
              <w:t xml:space="preserve"> policies and practices on equity, equality, diversity and inclusion, and environmental sustainability.</w:t>
            </w:r>
          </w:p>
          <w:p w14:paraId="2F130612" w14:textId="77777777" w:rsidR="009813A6" w:rsidRDefault="00A41E95" w:rsidP="000B3872">
            <w:pPr>
              <w:pStyle w:val="BulletedList"/>
              <w:ind w:right="227"/>
            </w:pPr>
            <w:r w:rsidRPr="009813A6">
              <w:t>Students are involved meaningfully in the design, development, approval and modification of programmes and modules.</w:t>
            </w:r>
          </w:p>
          <w:p w14:paraId="4C34540D" w14:textId="494E2327" w:rsidR="009813A6" w:rsidRPr="009813A6" w:rsidRDefault="009813A6" w:rsidP="009813A6">
            <w:pPr>
              <w:pStyle w:val="BulletedList"/>
              <w:numPr>
                <w:ilvl w:val="0"/>
                <w:numId w:val="0"/>
              </w:numPr>
              <w:ind w:left="720"/>
            </w:pPr>
          </w:p>
        </w:tc>
      </w:tr>
    </w:tbl>
    <w:p w14:paraId="3AA227C3" w14:textId="77777777" w:rsidR="00DD0ABF" w:rsidRDefault="00DD0ABF">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F504AB" w:rsidRPr="00DB3851" w14:paraId="671A6981" w14:textId="77777777" w:rsidTr="00F43D7B">
        <w:trPr>
          <w:trHeight w:val="567"/>
        </w:trPr>
        <w:tc>
          <w:tcPr>
            <w:tcW w:w="14312" w:type="dxa"/>
            <w:shd w:val="clear" w:color="auto" w:fill="C6EAB8"/>
          </w:tcPr>
          <w:p w14:paraId="331FD425" w14:textId="20355F9F" w:rsidR="00F504AB" w:rsidRPr="00F504AB" w:rsidRDefault="00F504AB" w:rsidP="00947634">
            <w:pPr>
              <w:pStyle w:val="QAAnormal"/>
              <w:ind w:right="1134"/>
              <w:rPr>
                <w:rFonts w:cs="Arial"/>
                <w:b/>
                <w:bCs/>
                <w:color w:val="000000" w:themeColor="text1"/>
                <w:sz w:val="24"/>
                <w:szCs w:val="24"/>
              </w:rPr>
            </w:pPr>
            <w:r>
              <w:rPr>
                <w:noProof w:val="0"/>
                <w:snapToGrid w:val="0"/>
                <w:szCs w:val="20"/>
                <w:lang w:eastAsia="en-US"/>
              </w:rPr>
              <w:lastRenderedPageBreak/>
              <w:br w:type="page"/>
            </w:r>
            <w:r w:rsidRPr="00F504AB">
              <w:rPr>
                <w:rFonts w:cs="Arial"/>
                <w:b/>
                <w:bCs/>
                <w:color w:val="000000" w:themeColor="text1"/>
                <w:sz w:val="24"/>
                <w:szCs w:val="24"/>
              </w:rPr>
              <w:t>Part 1</w:t>
            </w:r>
          </w:p>
        </w:tc>
      </w:tr>
      <w:tr w:rsidR="00087CC1" w:rsidRPr="00DB3851" w14:paraId="50DF4B69" w14:textId="77777777" w:rsidTr="00F504AB">
        <w:trPr>
          <w:trHeight w:val="1839"/>
        </w:trPr>
        <w:tc>
          <w:tcPr>
            <w:tcW w:w="14312" w:type="dxa"/>
            <w:shd w:val="clear" w:color="auto" w:fill="FFFFFF" w:themeFill="background1"/>
          </w:tcPr>
          <w:p w14:paraId="1149F2E9" w14:textId="2169FE13" w:rsidR="00087CC1" w:rsidRPr="007A5850" w:rsidRDefault="00AB3BDF" w:rsidP="00D41B55">
            <w:pPr>
              <w:pStyle w:val="QAAnormal"/>
              <w:ind w:right="460"/>
              <w:rPr>
                <w:rFonts w:cs="Arial"/>
                <w:b/>
                <w:bCs/>
                <w:color w:val="000000" w:themeColor="text1"/>
              </w:rPr>
            </w:pPr>
            <w:r w:rsidRPr="007A5850">
              <w:rPr>
                <w:rFonts w:cs="Arial"/>
                <w:b/>
                <w:bCs/>
                <w:color w:val="000000" w:themeColor="text1"/>
              </w:rPr>
              <w:t>List</w:t>
            </w:r>
            <w:r w:rsidR="00087CC1" w:rsidRPr="007A5850">
              <w:rPr>
                <w:rFonts w:cs="Arial"/>
                <w:b/>
                <w:bCs/>
                <w:color w:val="000000" w:themeColor="text1"/>
              </w:rPr>
              <w:t xml:space="preserve"> the evidence you believe will assist the review team in making a judgement on whether you </w:t>
            </w:r>
            <w:r w:rsidR="008436CA" w:rsidRPr="007A5850">
              <w:rPr>
                <w:rFonts w:cs="Arial"/>
                <w:b/>
                <w:bCs/>
                <w:color w:val="000000" w:themeColor="text1"/>
              </w:rPr>
              <w:t xml:space="preserve">demonstrate adherence to </w:t>
            </w:r>
            <w:r w:rsidR="00166BA1">
              <w:rPr>
                <w:rFonts w:cs="Arial"/>
                <w:b/>
                <w:bCs/>
                <w:color w:val="000000" w:themeColor="text1"/>
              </w:rPr>
              <w:t xml:space="preserve">  </w:t>
            </w:r>
            <w:r w:rsidR="00087CC1" w:rsidRPr="007A5850">
              <w:rPr>
                <w:rFonts w:cs="Arial"/>
                <w:b/>
                <w:bCs/>
                <w:color w:val="000000" w:themeColor="text1"/>
              </w:rPr>
              <w:t>Se</w:t>
            </w:r>
            <w:r w:rsidR="00087CC1" w:rsidRPr="007A5850">
              <w:rPr>
                <w:b/>
                <w:bCs/>
                <w:color w:val="000000" w:themeColor="text1"/>
              </w:rPr>
              <w:t>ctor-Agreed Principle 7</w:t>
            </w:r>
            <w:r w:rsidR="00087CC1" w:rsidRPr="007A5850">
              <w:rPr>
                <w:rFonts w:cs="Arial"/>
                <w:b/>
                <w:bCs/>
                <w:color w:val="000000" w:themeColor="text1"/>
              </w:rPr>
              <w:t>.</w:t>
            </w:r>
            <w:r w:rsidR="00087CC1" w:rsidRPr="007A5850">
              <w:rPr>
                <w:b/>
                <w:bCs/>
                <w:color w:val="000000" w:themeColor="text1"/>
              </w:rPr>
              <w:t xml:space="preserve"> </w:t>
            </w:r>
          </w:p>
          <w:p w14:paraId="5CF885B9" w14:textId="77777777" w:rsidR="00087CC1" w:rsidRDefault="00087CC1" w:rsidP="00D41B55">
            <w:pPr>
              <w:pStyle w:val="QAAnormal"/>
              <w:ind w:right="1134"/>
              <w:rPr>
                <w:rFonts w:cs="Arial"/>
                <w:color w:val="000000" w:themeColor="text1"/>
              </w:rPr>
            </w:pPr>
          </w:p>
          <w:p w14:paraId="335828F0" w14:textId="77777777" w:rsidR="00863A6A" w:rsidRDefault="00863A6A" w:rsidP="00863A6A">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0D6315B8" w14:textId="77777777" w:rsidR="00087CC1" w:rsidRDefault="00087CC1" w:rsidP="00D41B55">
            <w:pPr>
              <w:pStyle w:val="QAAnormal"/>
              <w:ind w:right="1134"/>
              <w:rPr>
                <w:rFonts w:cs="Arial"/>
                <w:color w:val="000000" w:themeColor="text1"/>
              </w:rPr>
            </w:pPr>
          </w:p>
          <w:p w14:paraId="119BB365" w14:textId="77777777" w:rsidR="00863A6A" w:rsidRPr="00D6558D" w:rsidRDefault="00863A6A" w:rsidP="001F3961">
            <w:pPr>
              <w:pStyle w:val="QAAnormal"/>
              <w:ind w:right="1134"/>
              <w:rPr>
                <w:rFonts w:cs="Arial"/>
                <w:color w:val="000000" w:themeColor="text1"/>
              </w:rPr>
            </w:pPr>
          </w:p>
          <w:p w14:paraId="38347E55" w14:textId="77777777" w:rsidR="00087CC1" w:rsidRPr="70FB7DD3" w:rsidRDefault="00087CC1" w:rsidP="00D41B55">
            <w:pPr>
              <w:pStyle w:val="QAAnormal"/>
              <w:ind w:right="1134"/>
              <w:rPr>
                <w:rFonts w:cs="Arial"/>
                <w:color w:val="000000" w:themeColor="text1"/>
              </w:rPr>
            </w:pPr>
          </w:p>
        </w:tc>
      </w:tr>
      <w:tr w:rsidR="00127E5F" w:rsidRPr="00DB3851" w14:paraId="5B02CF48" w14:textId="77777777" w:rsidTr="00F43D7B">
        <w:trPr>
          <w:trHeight w:val="567"/>
        </w:trPr>
        <w:tc>
          <w:tcPr>
            <w:tcW w:w="14312" w:type="dxa"/>
            <w:shd w:val="clear" w:color="auto" w:fill="C6EAB8"/>
          </w:tcPr>
          <w:p w14:paraId="163A70B7" w14:textId="5EBBF322" w:rsidR="00127E5F" w:rsidRPr="00127E5F" w:rsidRDefault="00127E5F" w:rsidP="00863A6A">
            <w:pPr>
              <w:pStyle w:val="QAAnormal"/>
              <w:ind w:right="460"/>
              <w:rPr>
                <w:rFonts w:cs="Arial"/>
                <w:b/>
                <w:bCs/>
                <w:color w:val="000000" w:themeColor="text1"/>
                <w:sz w:val="24"/>
                <w:szCs w:val="24"/>
              </w:rPr>
            </w:pPr>
            <w:r w:rsidRPr="00127E5F">
              <w:rPr>
                <w:rFonts w:cs="Arial"/>
                <w:b/>
                <w:bCs/>
                <w:color w:val="000000" w:themeColor="text1"/>
                <w:sz w:val="24"/>
                <w:szCs w:val="24"/>
              </w:rPr>
              <w:t>Part 2</w:t>
            </w:r>
          </w:p>
        </w:tc>
      </w:tr>
      <w:tr w:rsidR="00863A6A" w:rsidRPr="00DB3851" w14:paraId="34AE86D0" w14:textId="77777777" w:rsidTr="00127E5F">
        <w:trPr>
          <w:trHeight w:val="1839"/>
        </w:trPr>
        <w:tc>
          <w:tcPr>
            <w:tcW w:w="14312" w:type="dxa"/>
            <w:shd w:val="clear" w:color="auto" w:fill="FFFFFF" w:themeFill="background1"/>
          </w:tcPr>
          <w:p w14:paraId="7D1A9628" w14:textId="2F9624B4" w:rsidR="00863A6A" w:rsidRPr="007A5850" w:rsidRDefault="00863A6A" w:rsidP="00DD0ABF">
            <w:pPr>
              <w:pStyle w:val="QAAnormal"/>
              <w:ind w:right="454"/>
              <w:rPr>
                <w:b/>
                <w:bCs/>
              </w:rPr>
            </w:pPr>
            <w:r w:rsidRPr="007A5850">
              <w:rPr>
                <w:b/>
                <w:bCs/>
              </w:rPr>
              <w:t xml:space="preserve">Highlight which parts of your evidence submission (listed in </w:t>
            </w:r>
            <w:r w:rsidR="00166BA1">
              <w:rPr>
                <w:b/>
                <w:bCs/>
              </w:rPr>
              <w:t>Part 1</w:t>
            </w:r>
            <w:r w:rsidRPr="007A5850">
              <w:rPr>
                <w:b/>
                <w:bCs/>
              </w:rPr>
              <w:t xml:space="preserve"> above) the review team may wish to consider when forming a judgement as to whether you demonstrate adherence to Sector-Agreed Principle 7. Where applicable, include references to specific parts, sections or paragraphs of documents.</w:t>
            </w:r>
          </w:p>
          <w:p w14:paraId="7FFF79BC" w14:textId="77777777" w:rsidR="00863A6A" w:rsidRDefault="00863A6A" w:rsidP="00863A6A">
            <w:pPr>
              <w:pStyle w:val="QAAnormal"/>
              <w:ind w:right="1134"/>
              <w:rPr>
                <w:rFonts w:cs="Arial"/>
                <w:color w:val="000000" w:themeColor="text1"/>
              </w:rPr>
            </w:pPr>
          </w:p>
          <w:p w14:paraId="06EE0F38" w14:textId="77777777" w:rsidR="00863A6A" w:rsidRDefault="00863A6A" w:rsidP="00863A6A">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0223DBA9" w14:textId="77777777" w:rsidR="00863A6A" w:rsidRPr="002E267A" w:rsidRDefault="00863A6A" w:rsidP="001F3961">
            <w:pPr>
              <w:pStyle w:val="QAAnormal"/>
              <w:ind w:right="460"/>
              <w:rPr>
                <w:rFonts w:cs="Arial"/>
                <w:b/>
                <w:bCs/>
                <w:color w:val="000000" w:themeColor="text1"/>
              </w:rPr>
            </w:pPr>
          </w:p>
        </w:tc>
      </w:tr>
      <w:tr w:rsidR="00C62C4E" w:rsidRPr="00DB3851" w14:paraId="2C8CBEAA" w14:textId="77777777" w:rsidTr="00F43D7B">
        <w:trPr>
          <w:trHeight w:val="567"/>
        </w:trPr>
        <w:tc>
          <w:tcPr>
            <w:tcW w:w="14312" w:type="dxa"/>
            <w:shd w:val="clear" w:color="auto" w:fill="C6EAB8"/>
          </w:tcPr>
          <w:p w14:paraId="518D15DE" w14:textId="2A584F74" w:rsidR="00C62C4E" w:rsidRPr="00C62C4E" w:rsidRDefault="00C62C4E" w:rsidP="001F3961">
            <w:pPr>
              <w:pStyle w:val="QAAnormal"/>
              <w:ind w:right="460"/>
              <w:rPr>
                <w:rFonts w:cs="Arial"/>
                <w:b/>
                <w:bCs/>
                <w:color w:val="000000" w:themeColor="text1"/>
                <w:sz w:val="24"/>
                <w:szCs w:val="24"/>
              </w:rPr>
            </w:pPr>
            <w:r w:rsidRPr="00C62C4E">
              <w:rPr>
                <w:rFonts w:cs="Arial"/>
                <w:b/>
                <w:bCs/>
                <w:color w:val="000000" w:themeColor="text1"/>
                <w:sz w:val="24"/>
                <w:szCs w:val="24"/>
              </w:rPr>
              <w:t>Part 3</w:t>
            </w:r>
          </w:p>
        </w:tc>
      </w:tr>
      <w:tr w:rsidR="001F3961" w:rsidRPr="00DB3851" w14:paraId="1541C630" w14:textId="77777777" w:rsidTr="006222A0">
        <w:trPr>
          <w:trHeight w:val="1839"/>
        </w:trPr>
        <w:tc>
          <w:tcPr>
            <w:tcW w:w="14312" w:type="dxa"/>
            <w:shd w:val="clear" w:color="auto" w:fill="FFFFFF" w:themeFill="background1"/>
          </w:tcPr>
          <w:p w14:paraId="65750B7C" w14:textId="77777777" w:rsidR="001F3961" w:rsidRPr="007A5850" w:rsidRDefault="001F3961" w:rsidP="001F3961">
            <w:pPr>
              <w:pStyle w:val="QAAnormal"/>
              <w:ind w:right="1134"/>
              <w:rPr>
                <w:b/>
                <w:bCs/>
                <w:i/>
                <w:iCs/>
                <w:color w:val="000000" w:themeColor="text1"/>
              </w:rPr>
            </w:pPr>
            <w:r w:rsidRPr="007A5850">
              <w:rPr>
                <w:b/>
                <w:bCs/>
                <w:color w:val="000000" w:themeColor="text1"/>
              </w:rPr>
              <w:t xml:space="preserve">Detail why you consider this evidence demonstrates that you adhere to Sector-Agreed Principle </w:t>
            </w:r>
            <w:r w:rsidR="00AD3424" w:rsidRPr="007A5850">
              <w:rPr>
                <w:b/>
                <w:bCs/>
                <w:color w:val="000000" w:themeColor="text1"/>
              </w:rPr>
              <w:t>7</w:t>
            </w:r>
            <w:r w:rsidRPr="007A5850">
              <w:rPr>
                <w:b/>
                <w:bCs/>
                <w:i/>
                <w:iCs/>
                <w:color w:val="000000" w:themeColor="text1"/>
              </w:rPr>
              <w:t>.</w:t>
            </w:r>
          </w:p>
          <w:p w14:paraId="6925D5C9" w14:textId="77777777" w:rsidR="00863A6A" w:rsidRDefault="00863A6A" w:rsidP="001F3961">
            <w:pPr>
              <w:pStyle w:val="QAAnormal"/>
              <w:ind w:right="1134"/>
              <w:rPr>
                <w:i/>
                <w:iCs/>
                <w:color w:val="000000" w:themeColor="text1"/>
              </w:rPr>
            </w:pPr>
          </w:p>
          <w:p w14:paraId="6B877DAC" w14:textId="77777777" w:rsidR="00863A6A" w:rsidRDefault="00863A6A" w:rsidP="00863A6A">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00534319" w14:textId="683D8535" w:rsidR="00863A6A" w:rsidRPr="00AF5B58" w:rsidRDefault="00863A6A" w:rsidP="001F3961">
            <w:pPr>
              <w:pStyle w:val="QAAnormal"/>
              <w:ind w:right="1134"/>
              <w:rPr>
                <w:rFonts w:cs="Arial"/>
                <w:b/>
                <w:bCs/>
                <w:color w:val="000000" w:themeColor="text1"/>
              </w:rPr>
            </w:pPr>
          </w:p>
        </w:tc>
      </w:tr>
    </w:tbl>
    <w:p w14:paraId="160C099B" w14:textId="77777777" w:rsidR="00402DDE" w:rsidRDefault="00402DDE" w:rsidP="00402DDE">
      <w:pPr>
        <w:rPr>
          <w:i/>
          <w:iCs/>
          <w:sz w:val="20"/>
        </w:rPr>
      </w:pPr>
      <w:r w:rsidRPr="4CD64A79">
        <w:rPr>
          <w:i/>
          <w:iCs/>
          <w:sz w:val="20"/>
        </w:rPr>
        <w:t>The table above will expand accordingly - the size of the table in this template is not an indicator as to the amount of detail you may provide.</w:t>
      </w:r>
    </w:p>
    <w:p w14:paraId="3C509AE3" w14:textId="1984668F" w:rsidR="001E46AD" w:rsidRDefault="001E46AD">
      <w:pPr>
        <w:widowControl/>
        <w:spacing w:after="0"/>
      </w:pPr>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402DDE" w:rsidRPr="00DB3851" w14:paraId="0C01E838" w14:textId="77777777" w:rsidTr="006222A0">
        <w:trPr>
          <w:trHeight w:val="555"/>
        </w:trPr>
        <w:tc>
          <w:tcPr>
            <w:tcW w:w="14312" w:type="dxa"/>
            <w:shd w:val="clear" w:color="auto" w:fill="C6EAB8"/>
          </w:tcPr>
          <w:p w14:paraId="67F98BFA" w14:textId="2E0ACCC8" w:rsidR="00402DDE" w:rsidRPr="00BC4CEB" w:rsidRDefault="00402DDE" w:rsidP="00D41B55">
            <w:pPr>
              <w:spacing w:before="60" w:after="120"/>
              <w:rPr>
                <w:b/>
                <w:bCs/>
                <w:sz w:val="24"/>
                <w:szCs w:val="24"/>
              </w:rPr>
            </w:pPr>
            <w:bookmarkStart w:id="6" w:name="_Hlk174115886"/>
            <w:r w:rsidRPr="00BC4CEB">
              <w:rPr>
                <w:b/>
                <w:bCs/>
                <w:sz w:val="24"/>
                <w:szCs w:val="24"/>
              </w:rPr>
              <w:lastRenderedPageBreak/>
              <w:t xml:space="preserve">Home Office </w:t>
            </w:r>
            <w:r w:rsidR="006222A0" w:rsidRPr="00BC4CEB">
              <w:rPr>
                <w:b/>
                <w:bCs/>
                <w:sz w:val="24"/>
                <w:szCs w:val="24"/>
              </w:rPr>
              <w:t>R</w:t>
            </w:r>
            <w:r w:rsidRPr="00BC4CEB">
              <w:rPr>
                <w:b/>
                <w:bCs/>
                <w:sz w:val="24"/>
                <w:szCs w:val="24"/>
              </w:rPr>
              <w:t>equirement 2:</w:t>
            </w:r>
          </w:p>
          <w:p w14:paraId="6B7BEB61" w14:textId="6F3BA16D" w:rsidR="00402DDE" w:rsidRDefault="00402DDE" w:rsidP="00D41B55">
            <w:pPr>
              <w:spacing w:before="60" w:after="120"/>
              <w:rPr>
                <w:b/>
                <w:bCs/>
                <w:color w:val="FFFFFF" w:themeColor="background1"/>
              </w:rPr>
            </w:pPr>
            <w:r w:rsidRPr="008E0E1F">
              <w:t>The provi</w:t>
            </w:r>
            <w:r w:rsidR="00E7098F">
              <w:t>sion of learning opportunities by the provider</w:t>
            </w:r>
          </w:p>
        </w:tc>
      </w:tr>
      <w:tr w:rsidR="00402DDE" w:rsidRPr="00DB3851" w14:paraId="026B3CEE" w14:textId="77777777" w:rsidTr="006222A0">
        <w:trPr>
          <w:trHeight w:val="555"/>
        </w:trPr>
        <w:tc>
          <w:tcPr>
            <w:tcW w:w="14312" w:type="dxa"/>
            <w:shd w:val="clear" w:color="auto" w:fill="D9D9D9"/>
          </w:tcPr>
          <w:p w14:paraId="62556AB3" w14:textId="0E2D3F25" w:rsidR="00402DDE" w:rsidRPr="00070CEE" w:rsidRDefault="00402DDE" w:rsidP="00070CEE">
            <w:pPr>
              <w:spacing w:before="60" w:after="120"/>
              <w:rPr>
                <w:b/>
                <w:bCs/>
                <w:color w:val="000000" w:themeColor="text1"/>
                <w:sz w:val="24"/>
                <w:szCs w:val="24"/>
              </w:rPr>
            </w:pPr>
            <w:r w:rsidRPr="00070CEE">
              <w:rPr>
                <w:b/>
                <w:bCs/>
                <w:color w:val="000000" w:themeColor="text1"/>
                <w:sz w:val="24"/>
                <w:szCs w:val="24"/>
              </w:rPr>
              <w:t>Sector-Agreed Principle 1</w:t>
            </w:r>
            <w:r w:rsidR="003F1BFE" w:rsidRPr="00070CEE">
              <w:rPr>
                <w:b/>
                <w:bCs/>
                <w:color w:val="000000" w:themeColor="text1"/>
                <w:sz w:val="24"/>
                <w:szCs w:val="24"/>
              </w:rPr>
              <w:t>1</w:t>
            </w:r>
            <w:r w:rsidR="008644C6" w:rsidRPr="00070CEE">
              <w:rPr>
                <w:b/>
                <w:bCs/>
                <w:color w:val="000000" w:themeColor="text1"/>
                <w:sz w:val="24"/>
                <w:szCs w:val="24"/>
              </w:rPr>
              <w:t>:</w:t>
            </w:r>
            <w:r w:rsidRPr="00070CEE">
              <w:rPr>
                <w:b/>
                <w:bCs/>
                <w:color w:val="000000" w:themeColor="text1"/>
                <w:sz w:val="24"/>
                <w:szCs w:val="24"/>
              </w:rPr>
              <w:t xml:space="preserve"> T</w:t>
            </w:r>
            <w:r w:rsidR="003F1BFE" w:rsidRPr="00070CEE">
              <w:rPr>
                <w:b/>
                <w:bCs/>
                <w:color w:val="000000" w:themeColor="text1"/>
                <w:sz w:val="24"/>
                <w:szCs w:val="24"/>
              </w:rPr>
              <w:t>e</w:t>
            </w:r>
            <w:r w:rsidRPr="00070CEE">
              <w:rPr>
                <w:b/>
                <w:bCs/>
                <w:color w:val="000000" w:themeColor="text1"/>
                <w:sz w:val="24"/>
                <w:szCs w:val="24"/>
              </w:rPr>
              <w:t>a</w:t>
            </w:r>
            <w:r w:rsidR="003F1BFE" w:rsidRPr="00070CEE">
              <w:rPr>
                <w:b/>
                <w:bCs/>
                <w:color w:val="000000" w:themeColor="text1"/>
                <w:sz w:val="24"/>
                <w:szCs w:val="24"/>
              </w:rPr>
              <w:t>ch</w:t>
            </w:r>
            <w:r w:rsidRPr="00070CEE">
              <w:rPr>
                <w:b/>
                <w:bCs/>
                <w:color w:val="000000" w:themeColor="text1"/>
                <w:sz w:val="24"/>
                <w:szCs w:val="24"/>
              </w:rPr>
              <w:t>ing</w:t>
            </w:r>
            <w:r w:rsidR="003F1BFE" w:rsidRPr="00070CEE">
              <w:rPr>
                <w:b/>
                <w:bCs/>
                <w:color w:val="000000" w:themeColor="text1"/>
                <w:sz w:val="24"/>
                <w:szCs w:val="24"/>
              </w:rPr>
              <w:t xml:space="preserve">, learning </w:t>
            </w:r>
            <w:r w:rsidRPr="00070CEE">
              <w:rPr>
                <w:b/>
                <w:bCs/>
                <w:color w:val="000000" w:themeColor="text1"/>
                <w:sz w:val="24"/>
                <w:szCs w:val="24"/>
              </w:rPr>
              <w:t xml:space="preserve">and </w:t>
            </w:r>
            <w:r w:rsidR="001C69B7" w:rsidRPr="00070CEE">
              <w:rPr>
                <w:b/>
                <w:bCs/>
                <w:color w:val="000000" w:themeColor="text1"/>
                <w:sz w:val="24"/>
                <w:szCs w:val="24"/>
              </w:rPr>
              <w:t>a</w:t>
            </w:r>
            <w:r w:rsidRPr="00070CEE">
              <w:rPr>
                <w:b/>
                <w:bCs/>
                <w:color w:val="000000" w:themeColor="text1"/>
                <w:sz w:val="24"/>
                <w:szCs w:val="24"/>
              </w:rPr>
              <w:t>ss</w:t>
            </w:r>
            <w:r w:rsidR="001C69B7" w:rsidRPr="00070CEE">
              <w:rPr>
                <w:b/>
                <w:bCs/>
                <w:color w:val="000000" w:themeColor="text1"/>
                <w:sz w:val="24"/>
                <w:szCs w:val="24"/>
              </w:rPr>
              <w:t>essment</w:t>
            </w:r>
          </w:p>
          <w:p w14:paraId="27DE3A3F" w14:textId="77777777" w:rsidR="006222A0" w:rsidRDefault="006222A0" w:rsidP="00D41B55">
            <w:pPr>
              <w:spacing w:before="60" w:after="60"/>
              <w:rPr>
                <w:i/>
                <w:iCs/>
                <w:szCs w:val="22"/>
              </w:rPr>
            </w:pPr>
            <w:r w:rsidRPr="00EA52EB">
              <w:rPr>
                <w:i/>
                <w:iCs/>
                <w:szCs w:val="22"/>
              </w:rPr>
              <w:t>Providers facilitate a collaborative and inclusive approach that enables students to have a high-quality learning experience and to progress through their studies. All students are supported to develop and demonstrate academic and professional skills and competencies. Assessment employs a variety of methods, embodying the values of academic integrity, producing outcomes that are comparable across the UK and recognised globally</w:t>
            </w:r>
            <w:r>
              <w:rPr>
                <w:i/>
                <w:iCs/>
                <w:szCs w:val="22"/>
              </w:rPr>
              <w:t>.</w:t>
            </w:r>
          </w:p>
          <w:p w14:paraId="4036691C" w14:textId="6A089B1E" w:rsidR="006222A0" w:rsidRPr="00DB3851" w:rsidRDefault="006222A0" w:rsidP="00D41B55">
            <w:pPr>
              <w:spacing w:before="60" w:after="60"/>
              <w:rPr>
                <w:rFonts w:eastAsia="Arial"/>
                <w:b/>
                <w:color w:val="FFFFFF" w:themeColor="background1"/>
                <w:szCs w:val="22"/>
              </w:rPr>
            </w:pPr>
          </w:p>
        </w:tc>
      </w:tr>
      <w:tr w:rsidR="00402DDE" w:rsidRPr="00DB3851" w14:paraId="5BC62115" w14:textId="77777777" w:rsidTr="006222A0">
        <w:trPr>
          <w:trHeight w:val="1839"/>
        </w:trPr>
        <w:tc>
          <w:tcPr>
            <w:tcW w:w="14312" w:type="dxa"/>
            <w:shd w:val="clear" w:color="auto" w:fill="auto"/>
          </w:tcPr>
          <w:p w14:paraId="45C7C344" w14:textId="77777777" w:rsidR="00402DDE" w:rsidRDefault="00402DDE" w:rsidP="00D41B55">
            <w:pPr>
              <w:pStyle w:val="Header"/>
              <w:spacing w:before="60" w:after="60"/>
              <w:rPr>
                <w:b/>
                <w:bCs/>
                <w:color w:val="000000" w:themeColor="text1"/>
                <w:szCs w:val="22"/>
              </w:rPr>
            </w:pPr>
            <w:r w:rsidRPr="00FB5D34">
              <w:rPr>
                <w:b/>
                <w:bCs/>
                <w:color w:val="000000" w:themeColor="text1"/>
                <w:szCs w:val="22"/>
              </w:rPr>
              <w:t>Key Practices</w:t>
            </w:r>
          </w:p>
          <w:p w14:paraId="76456E66" w14:textId="77777777" w:rsidR="006222A0" w:rsidRDefault="006222A0" w:rsidP="004E592B">
            <w:pPr>
              <w:pStyle w:val="Header"/>
              <w:spacing w:before="60" w:after="0"/>
              <w:rPr>
                <w:b/>
                <w:bCs/>
                <w:color w:val="000000" w:themeColor="text1"/>
                <w:szCs w:val="22"/>
              </w:rPr>
            </w:pPr>
          </w:p>
          <w:p w14:paraId="0169B9C7" w14:textId="77777777" w:rsidR="00500B31" w:rsidRPr="006222A0" w:rsidRDefault="00500B31" w:rsidP="006222A0">
            <w:pPr>
              <w:pStyle w:val="BulletedList"/>
              <w:numPr>
                <w:ilvl w:val="0"/>
                <w:numId w:val="32"/>
              </w:numPr>
              <w:ind w:left="567" w:hanging="567"/>
            </w:pPr>
            <w:r w:rsidRPr="006222A0">
              <w:t xml:space="preserve">Learning and assessment at all levels is informed by research and/or scholarship. Teaching, </w:t>
            </w:r>
            <w:proofErr w:type="gramStart"/>
            <w:r w:rsidRPr="006222A0">
              <w:t>learning</w:t>
            </w:r>
            <w:proofErr w:type="gramEnd"/>
            <w:r w:rsidRPr="006222A0">
              <w:t xml:space="preserve"> and assessment align to ensure students can demonstrate their achievements, reflect on and reinforce their prior learning, skills and knowledge, and fulfil their potential. </w:t>
            </w:r>
          </w:p>
          <w:p w14:paraId="5008C974" w14:textId="77777777" w:rsidR="00500B31" w:rsidRPr="006222A0" w:rsidRDefault="00500B31" w:rsidP="006222A0">
            <w:pPr>
              <w:pStyle w:val="BulletedList"/>
            </w:pPr>
            <w:r w:rsidRPr="006222A0">
              <w:t xml:space="preserve">Students are given clear information about the intended modular and/or programme learning outcomes and the purpose of assessment and are enabled to use feedback/feedforward to support further learning. </w:t>
            </w:r>
          </w:p>
          <w:p w14:paraId="0410F007" w14:textId="77777777" w:rsidR="008749E4" w:rsidRPr="006222A0" w:rsidRDefault="00500B31" w:rsidP="006222A0">
            <w:pPr>
              <w:pStyle w:val="BulletedList"/>
            </w:pPr>
            <w:r w:rsidRPr="006222A0">
              <w:t xml:space="preserve">Staff involved in facilitating learning and supervising research are appropriately qualified and supported to enhance their teaching and supervisory practice. </w:t>
            </w:r>
            <w:r w:rsidR="008749E4" w:rsidRPr="006222A0">
              <w:t xml:space="preserve">Research degrees are delivered in supportive environments that are conducive to learning and research. </w:t>
            </w:r>
          </w:p>
          <w:p w14:paraId="53D9A94B" w14:textId="22BB0CEB" w:rsidR="009318AC" w:rsidRPr="006222A0" w:rsidRDefault="009318AC" w:rsidP="006222A0">
            <w:pPr>
              <w:pStyle w:val="BulletedList"/>
            </w:pPr>
            <w:r w:rsidRPr="006222A0">
              <w:t xml:space="preserve">Students are enabled and encouraged to take responsibility for their own learning and to take an active role in shaping and enhancing the learning process. Providers offer ongoing advice and guidance about academic integrity to ensure that students and staff understand what is expected of them. </w:t>
            </w:r>
          </w:p>
          <w:p w14:paraId="604088E5" w14:textId="77777777" w:rsidR="009318AC" w:rsidRPr="006222A0" w:rsidRDefault="009318AC" w:rsidP="006222A0">
            <w:pPr>
              <w:pStyle w:val="BulletedList"/>
            </w:pPr>
            <w:r w:rsidRPr="006222A0">
              <w:t xml:space="preserve">As students move through their learning journey, they are given the opportunity and support to transition effectively between academic levels, further </w:t>
            </w:r>
            <w:proofErr w:type="gramStart"/>
            <w:r w:rsidRPr="006222A0">
              <w:t>study</w:t>
            </w:r>
            <w:proofErr w:type="gramEnd"/>
            <w:r w:rsidRPr="006222A0">
              <w:t xml:space="preserve"> and employment. Providers enable students to recognise the progression they have made and steps they need to take to achieve their potential. </w:t>
            </w:r>
          </w:p>
          <w:p w14:paraId="26D0B38D" w14:textId="77777777" w:rsidR="009318AC" w:rsidRPr="006222A0" w:rsidRDefault="009318AC" w:rsidP="006222A0">
            <w:pPr>
              <w:pStyle w:val="BulletedList"/>
            </w:pPr>
            <w:r w:rsidRPr="006222A0">
              <w:t xml:space="preserve">Providers design assessments that test appropriate learning outcomes and are fair, reliable, accessible, </w:t>
            </w:r>
            <w:proofErr w:type="gramStart"/>
            <w:r w:rsidRPr="006222A0">
              <w:t>authentic</w:t>
            </w:r>
            <w:proofErr w:type="gramEnd"/>
            <w:r w:rsidRPr="006222A0">
              <w:t xml:space="preserve"> and inclusive. Where applicable, and sustainable, students are offered different options for undertaking assessments to promote accessibility and inclusion. </w:t>
            </w:r>
          </w:p>
          <w:p w14:paraId="4F2DCCE6" w14:textId="77777777" w:rsidR="00424611" w:rsidRPr="006222A0" w:rsidRDefault="002106CD" w:rsidP="006222A0">
            <w:pPr>
              <w:pStyle w:val="BulletedList"/>
            </w:pPr>
            <w:r w:rsidRPr="006222A0">
              <w:t xml:space="preserve">Providers </w:t>
            </w:r>
            <w:r w:rsidR="00C72E84" w:rsidRPr="006222A0">
              <w:t>establish coherent approaches to technologies that impact teaching, learning and assessment (such as Generative Artificial</w:t>
            </w:r>
            <w:r w:rsidR="00424611" w:rsidRPr="006222A0">
              <w:t xml:space="preserve"> Intelligence). These approaches are clearly communicated to staff and students, include how they are utilised and define misuse of such technologies. </w:t>
            </w:r>
          </w:p>
          <w:p w14:paraId="2BC265BF" w14:textId="4EE7A747" w:rsidR="006222A0" w:rsidRPr="002106CD" w:rsidRDefault="00424611" w:rsidP="00E356D3">
            <w:pPr>
              <w:pStyle w:val="BulletedList"/>
              <w:rPr>
                <w:rFonts w:cs="Arial"/>
                <w:sz w:val="20"/>
              </w:rPr>
            </w:pPr>
            <w:r w:rsidRPr="006222A0">
              <w:t>Providers offer advice and guidance about academic integrity to ensure that students and staff understand what is expected of them throughout the learning journey. The advice is kept current.</w:t>
            </w:r>
          </w:p>
        </w:tc>
      </w:tr>
      <w:tr w:rsidR="006222A0" w:rsidRPr="00DB3851" w14:paraId="0C0C8E68" w14:textId="77777777" w:rsidTr="00F43D7B">
        <w:trPr>
          <w:trHeight w:val="567"/>
        </w:trPr>
        <w:tc>
          <w:tcPr>
            <w:tcW w:w="14312" w:type="dxa"/>
            <w:shd w:val="clear" w:color="auto" w:fill="C6EAB8"/>
          </w:tcPr>
          <w:p w14:paraId="71A2C280" w14:textId="4A1E6248" w:rsidR="006222A0" w:rsidRPr="006222A0" w:rsidRDefault="006222A0" w:rsidP="001E46AD">
            <w:pPr>
              <w:pStyle w:val="QAAnormal"/>
              <w:ind w:right="1134"/>
              <w:rPr>
                <w:rFonts w:cs="Arial"/>
                <w:b/>
                <w:bCs/>
                <w:color w:val="000000" w:themeColor="text1"/>
                <w:sz w:val="24"/>
                <w:szCs w:val="24"/>
              </w:rPr>
            </w:pPr>
            <w:r w:rsidRPr="006222A0">
              <w:rPr>
                <w:rFonts w:cs="Arial"/>
                <w:b/>
                <w:bCs/>
                <w:color w:val="000000" w:themeColor="text1"/>
                <w:sz w:val="24"/>
                <w:szCs w:val="24"/>
              </w:rPr>
              <w:lastRenderedPageBreak/>
              <w:t>Part 1</w:t>
            </w:r>
          </w:p>
        </w:tc>
      </w:tr>
      <w:tr w:rsidR="00402DDE" w:rsidRPr="00DB3851" w14:paraId="74F73FE0" w14:textId="77777777" w:rsidTr="006222A0">
        <w:trPr>
          <w:trHeight w:val="1839"/>
        </w:trPr>
        <w:tc>
          <w:tcPr>
            <w:tcW w:w="14312" w:type="dxa"/>
            <w:shd w:val="clear" w:color="auto" w:fill="auto"/>
          </w:tcPr>
          <w:p w14:paraId="2FC9F69B" w14:textId="25713A1D" w:rsidR="001E46AD" w:rsidRPr="007A5850" w:rsidRDefault="00AB3BDF" w:rsidP="001E46AD">
            <w:pPr>
              <w:pStyle w:val="QAAnormal"/>
              <w:ind w:right="460"/>
              <w:rPr>
                <w:rFonts w:cs="Arial"/>
                <w:b/>
                <w:bCs/>
                <w:color w:val="000000" w:themeColor="text1"/>
              </w:rPr>
            </w:pPr>
            <w:r w:rsidRPr="007A5850">
              <w:rPr>
                <w:rFonts w:cs="Arial"/>
                <w:b/>
                <w:bCs/>
                <w:color w:val="000000" w:themeColor="text1"/>
              </w:rPr>
              <w:t>List</w:t>
            </w:r>
            <w:r w:rsidR="001E46AD" w:rsidRPr="007A5850">
              <w:rPr>
                <w:rFonts w:cs="Arial"/>
                <w:b/>
                <w:bCs/>
                <w:color w:val="000000" w:themeColor="text1"/>
              </w:rPr>
              <w:t xml:space="preserve"> the evidence you believe will assist the review team in making a judgement on whether you demonstrate adherence to </w:t>
            </w:r>
            <w:r w:rsidR="00006F0E">
              <w:rPr>
                <w:rFonts w:cs="Arial"/>
                <w:b/>
                <w:bCs/>
                <w:color w:val="000000" w:themeColor="text1"/>
              </w:rPr>
              <w:t xml:space="preserve">  </w:t>
            </w:r>
            <w:r w:rsidR="001E46AD" w:rsidRPr="007A5850">
              <w:rPr>
                <w:rFonts w:cs="Arial"/>
                <w:b/>
                <w:bCs/>
                <w:color w:val="000000" w:themeColor="text1"/>
              </w:rPr>
              <w:t>Se</w:t>
            </w:r>
            <w:r w:rsidR="001E46AD" w:rsidRPr="007A5850">
              <w:rPr>
                <w:b/>
                <w:bCs/>
                <w:color w:val="000000" w:themeColor="text1"/>
              </w:rPr>
              <w:t>ctor-Agreed Principle 11</w:t>
            </w:r>
            <w:r w:rsidR="001E46AD" w:rsidRPr="007A5850">
              <w:rPr>
                <w:rFonts w:cs="Arial"/>
                <w:b/>
                <w:bCs/>
                <w:color w:val="000000" w:themeColor="text1"/>
              </w:rPr>
              <w:t>.</w:t>
            </w:r>
            <w:r w:rsidR="001E46AD" w:rsidRPr="007A5850">
              <w:rPr>
                <w:b/>
                <w:bCs/>
                <w:color w:val="000000" w:themeColor="text1"/>
              </w:rPr>
              <w:t xml:space="preserve"> </w:t>
            </w:r>
          </w:p>
          <w:p w14:paraId="7206742B" w14:textId="77777777" w:rsidR="001E46AD" w:rsidRDefault="001E46AD" w:rsidP="001E46AD">
            <w:pPr>
              <w:pStyle w:val="QAAnormal"/>
              <w:ind w:right="1134"/>
              <w:rPr>
                <w:rFonts w:cs="Arial"/>
                <w:color w:val="000000" w:themeColor="text1"/>
              </w:rPr>
            </w:pPr>
          </w:p>
          <w:p w14:paraId="5A8F8E88" w14:textId="77777777" w:rsidR="00863A6A" w:rsidRDefault="00863A6A" w:rsidP="00863A6A">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73B37B07" w14:textId="77777777" w:rsidR="00402DDE" w:rsidRDefault="00402DDE" w:rsidP="00D41B55">
            <w:pPr>
              <w:pStyle w:val="QAAnormal"/>
              <w:ind w:right="1134"/>
              <w:rPr>
                <w:rFonts w:cs="Arial"/>
                <w:color w:val="000000" w:themeColor="text1"/>
              </w:rPr>
            </w:pPr>
          </w:p>
          <w:p w14:paraId="7130BF90" w14:textId="77777777" w:rsidR="00402DDE" w:rsidRDefault="00402DDE" w:rsidP="00D41B55">
            <w:pPr>
              <w:pStyle w:val="QAAnormal"/>
              <w:ind w:right="1134"/>
              <w:rPr>
                <w:rFonts w:cs="Arial"/>
                <w:color w:val="000000" w:themeColor="text1"/>
              </w:rPr>
            </w:pPr>
          </w:p>
          <w:p w14:paraId="7631F0FE" w14:textId="77777777" w:rsidR="00402DDE" w:rsidRPr="70FB7DD3" w:rsidRDefault="00402DDE" w:rsidP="00D41B55">
            <w:pPr>
              <w:pStyle w:val="QAAnormal"/>
              <w:ind w:right="1134"/>
              <w:rPr>
                <w:rFonts w:cs="Arial"/>
                <w:color w:val="000000" w:themeColor="text1"/>
              </w:rPr>
            </w:pPr>
          </w:p>
        </w:tc>
      </w:tr>
      <w:tr w:rsidR="006222A0" w:rsidRPr="00DB3851" w14:paraId="615B9A09" w14:textId="77777777" w:rsidTr="00F43D7B">
        <w:trPr>
          <w:trHeight w:val="567"/>
        </w:trPr>
        <w:tc>
          <w:tcPr>
            <w:tcW w:w="14312" w:type="dxa"/>
            <w:shd w:val="clear" w:color="auto" w:fill="C6EAB8"/>
          </w:tcPr>
          <w:p w14:paraId="1525AC9C" w14:textId="385F74CC" w:rsidR="006222A0" w:rsidRPr="006222A0" w:rsidRDefault="006222A0" w:rsidP="00AD3424">
            <w:pPr>
              <w:pStyle w:val="QAAnormal"/>
              <w:ind w:right="460"/>
              <w:rPr>
                <w:rFonts w:cs="Arial"/>
                <w:b/>
                <w:bCs/>
                <w:color w:val="000000" w:themeColor="text1"/>
                <w:sz w:val="24"/>
                <w:szCs w:val="24"/>
              </w:rPr>
            </w:pPr>
            <w:r w:rsidRPr="006222A0">
              <w:rPr>
                <w:rFonts w:cs="Arial"/>
                <w:b/>
                <w:bCs/>
                <w:color w:val="000000" w:themeColor="text1"/>
                <w:sz w:val="24"/>
                <w:szCs w:val="24"/>
              </w:rPr>
              <w:t>Part 2</w:t>
            </w:r>
          </w:p>
        </w:tc>
      </w:tr>
      <w:tr w:rsidR="00AD3424" w:rsidRPr="00DB3851" w14:paraId="731A2747" w14:textId="77777777" w:rsidTr="006222A0">
        <w:trPr>
          <w:trHeight w:val="1839"/>
        </w:trPr>
        <w:tc>
          <w:tcPr>
            <w:tcW w:w="14312" w:type="dxa"/>
            <w:shd w:val="clear" w:color="auto" w:fill="auto"/>
          </w:tcPr>
          <w:p w14:paraId="55E44266" w14:textId="6F5EE1C1" w:rsidR="00AD3424" w:rsidRPr="007A5850" w:rsidRDefault="00EA6551" w:rsidP="00DD0ABF">
            <w:pPr>
              <w:pStyle w:val="QAAnormal"/>
              <w:ind w:right="454"/>
              <w:rPr>
                <w:b/>
                <w:bCs/>
              </w:rPr>
            </w:pPr>
            <w:r w:rsidRPr="007A5850">
              <w:rPr>
                <w:b/>
                <w:bCs/>
              </w:rPr>
              <w:t>H</w:t>
            </w:r>
            <w:r w:rsidR="00AD3424" w:rsidRPr="007A5850">
              <w:rPr>
                <w:b/>
                <w:bCs/>
              </w:rPr>
              <w:t xml:space="preserve">ighlight which parts of your evidence submission (listed in </w:t>
            </w:r>
            <w:r w:rsidR="008513D2">
              <w:rPr>
                <w:b/>
                <w:bCs/>
              </w:rPr>
              <w:t>Part 1</w:t>
            </w:r>
            <w:r w:rsidR="00AD3424" w:rsidRPr="007A5850">
              <w:rPr>
                <w:b/>
                <w:bCs/>
              </w:rPr>
              <w:t xml:space="preserve"> </w:t>
            </w:r>
            <w:r w:rsidR="003C48F2" w:rsidRPr="007A5850">
              <w:rPr>
                <w:b/>
                <w:bCs/>
              </w:rPr>
              <w:t>above</w:t>
            </w:r>
            <w:r w:rsidR="00AD3424" w:rsidRPr="007A5850">
              <w:rPr>
                <w:b/>
                <w:bCs/>
              </w:rPr>
              <w:t>) the review team may wish to consider when forming a judgement as to whether you demonstrate adherence to Sector-Agreed Principle 11. Where applicable, include references to specific parts, sections or paragraphs of documents.</w:t>
            </w:r>
          </w:p>
          <w:p w14:paraId="184B5C47" w14:textId="77777777" w:rsidR="00863A6A" w:rsidRDefault="00863A6A" w:rsidP="00AD3424">
            <w:pPr>
              <w:pStyle w:val="QAAnormal"/>
              <w:ind w:right="1134"/>
            </w:pPr>
          </w:p>
          <w:p w14:paraId="18B1DBD3" w14:textId="77777777" w:rsidR="00863A6A" w:rsidRDefault="00863A6A" w:rsidP="00863A6A">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44EED017" w14:textId="77777777" w:rsidR="00863A6A" w:rsidRPr="00D6558D" w:rsidRDefault="00863A6A" w:rsidP="00AD3424">
            <w:pPr>
              <w:pStyle w:val="QAAnormal"/>
              <w:ind w:right="1134"/>
              <w:rPr>
                <w:rFonts w:cs="Arial"/>
                <w:color w:val="000000" w:themeColor="text1"/>
              </w:rPr>
            </w:pPr>
          </w:p>
          <w:p w14:paraId="6003211C" w14:textId="77777777" w:rsidR="00AD3424" w:rsidRPr="00AF5B58" w:rsidRDefault="00AD3424" w:rsidP="001E46AD">
            <w:pPr>
              <w:pStyle w:val="QAAnormal"/>
              <w:ind w:right="1134"/>
              <w:rPr>
                <w:rFonts w:cs="Arial"/>
                <w:b/>
                <w:bCs/>
                <w:color w:val="000000" w:themeColor="text1"/>
              </w:rPr>
            </w:pPr>
          </w:p>
        </w:tc>
      </w:tr>
      <w:tr w:rsidR="006222A0" w:rsidRPr="00DB3851" w14:paraId="745E71A4" w14:textId="77777777" w:rsidTr="00F43D7B">
        <w:trPr>
          <w:trHeight w:val="567"/>
        </w:trPr>
        <w:tc>
          <w:tcPr>
            <w:tcW w:w="14312" w:type="dxa"/>
            <w:shd w:val="clear" w:color="auto" w:fill="C6EAB8"/>
          </w:tcPr>
          <w:p w14:paraId="53A176FC" w14:textId="33B8CC54" w:rsidR="006222A0" w:rsidRPr="006222A0" w:rsidRDefault="006222A0" w:rsidP="00AD3424">
            <w:pPr>
              <w:pStyle w:val="QAAnormal"/>
              <w:ind w:right="460"/>
              <w:rPr>
                <w:rFonts w:cs="Arial"/>
                <w:b/>
                <w:bCs/>
                <w:color w:val="000000" w:themeColor="text1"/>
                <w:sz w:val="24"/>
                <w:szCs w:val="24"/>
              </w:rPr>
            </w:pPr>
            <w:r w:rsidRPr="006222A0">
              <w:rPr>
                <w:rFonts w:cs="Arial"/>
                <w:b/>
                <w:bCs/>
                <w:color w:val="000000" w:themeColor="text1"/>
                <w:sz w:val="24"/>
                <w:szCs w:val="24"/>
              </w:rPr>
              <w:t>Part 3</w:t>
            </w:r>
          </w:p>
        </w:tc>
      </w:tr>
      <w:tr w:rsidR="00AD3424" w:rsidRPr="00DB3851" w14:paraId="32A71252" w14:textId="77777777" w:rsidTr="006222A0">
        <w:trPr>
          <w:trHeight w:val="1839"/>
        </w:trPr>
        <w:tc>
          <w:tcPr>
            <w:tcW w:w="14312" w:type="dxa"/>
            <w:shd w:val="clear" w:color="auto" w:fill="auto"/>
          </w:tcPr>
          <w:p w14:paraId="76DAC03A" w14:textId="77777777" w:rsidR="00AD3424" w:rsidRPr="007A5850" w:rsidRDefault="00AD3424" w:rsidP="00AD3424">
            <w:pPr>
              <w:pStyle w:val="QAAnormal"/>
              <w:ind w:right="1134"/>
              <w:rPr>
                <w:b/>
                <w:bCs/>
                <w:color w:val="000000" w:themeColor="text1"/>
              </w:rPr>
            </w:pPr>
            <w:r w:rsidRPr="007A5850">
              <w:rPr>
                <w:b/>
                <w:bCs/>
                <w:color w:val="000000" w:themeColor="text1"/>
              </w:rPr>
              <w:t>Detail why you consider this evidence demonstrates that you adhere to Sector-Agreed Principle 11.</w:t>
            </w:r>
          </w:p>
          <w:p w14:paraId="382A655B" w14:textId="77777777" w:rsidR="00863A6A" w:rsidRDefault="00863A6A" w:rsidP="00AD3424">
            <w:pPr>
              <w:pStyle w:val="QAAnormal"/>
              <w:ind w:right="1134"/>
              <w:rPr>
                <w:color w:val="000000" w:themeColor="text1"/>
              </w:rPr>
            </w:pPr>
          </w:p>
          <w:p w14:paraId="4D7F37B6" w14:textId="77777777" w:rsidR="00863A6A" w:rsidRDefault="00863A6A" w:rsidP="00863A6A">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3D48F335" w14:textId="51B85B8A" w:rsidR="00863A6A" w:rsidRPr="00D6558D" w:rsidRDefault="00863A6A" w:rsidP="00AD3424">
            <w:pPr>
              <w:pStyle w:val="QAAnormal"/>
              <w:ind w:right="1134"/>
              <w:rPr>
                <w:rFonts w:cs="Arial"/>
                <w:b/>
                <w:bCs/>
                <w:color w:val="000000" w:themeColor="text1"/>
              </w:rPr>
            </w:pPr>
          </w:p>
        </w:tc>
      </w:tr>
    </w:tbl>
    <w:p w14:paraId="5F6222FB" w14:textId="77777777" w:rsidR="00402DDE" w:rsidRDefault="00402DDE" w:rsidP="00402DDE">
      <w:pPr>
        <w:rPr>
          <w:i/>
          <w:iCs/>
          <w:sz w:val="20"/>
        </w:rPr>
      </w:pPr>
      <w:r w:rsidRPr="4CD64A79">
        <w:rPr>
          <w:i/>
          <w:iCs/>
          <w:sz w:val="20"/>
        </w:rPr>
        <w:t>The table above will expand accordingly - the size of the table in this template is not an indicator as to the amount of detail you may provide.</w:t>
      </w:r>
    </w:p>
    <w:p w14:paraId="2C5E20D3" w14:textId="77777777" w:rsidR="00DE208A" w:rsidRDefault="00DE208A">
      <w:pPr>
        <w:widowControl/>
        <w:spacing w:after="0"/>
      </w:pPr>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DE208A" w:rsidRPr="00DB3851" w14:paraId="67CE33FF" w14:textId="77777777" w:rsidTr="008644C6">
        <w:trPr>
          <w:trHeight w:val="555"/>
        </w:trPr>
        <w:tc>
          <w:tcPr>
            <w:tcW w:w="14312" w:type="dxa"/>
            <w:shd w:val="clear" w:color="auto" w:fill="C6EAB8"/>
          </w:tcPr>
          <w:bookmarkEnd w:id="6"/>
          <w:p w14:paraId="6DA8B8FA" w14:textId="0D3C0BBD" w:rsidR="00DE208A" w:rsidRPr="00070CEE" w:rsidRDefault="00DE208A" w:rsidP="00D41B55">
            <w:pPr>
              <w:spacing w:before="60" w:after="120"/>
              <w:rPr>
                <w:b/>
                <w:bCs/>
                <w:sz w:val="24"/>
                <w:szCs w:val="24"/>
              </w:rPr>
            </w:pPr>
            <w:r w:rsidRPr="00070CEE">
              <w:rPr>
                <w:b/>
                <w:bCs/>
                <w:sz w:val="24"/>
                <w:szCs w:val="24"/>
              </w:rPr>
              <w:lastRenderedPageBreak/>
              <w:t xml:space="preserve">Home Office </w:t>
            </w:r>
            <w:r w:rsidR="008644C6" w:rsidRPr="00070CEE">
              <w:rPr>
                <w:b/>
                <w:bCs/>
                <w:sz w:val="24"/>
                <w:szCs w:val="24"/>
              </w:rPr>
              <w:t>R</w:t>
            </w:r>
            <w:r w:rsidRPr="00070CEE">
              <w:rPr>
                <w:b/>
                <w:bCs/>
                <w:sz w:val="24"/>
                <w:szCs w:val="24"/>
              </w:rPr>
              <w:t>equirement 3:</w:t>
            </w:r>
          </w:p>
          <w:p w14:paraId="7CCD3744" w14:textId="769EBDFD" w:rsidR="00DE208A" w:rsidRDefault="00DE208A" w:rsidP="00D41B55">
            <w:pPr>
              <w:spacing w:before="60" w:after="120"/>
              <w:rPr>
                <w:b/>
                <w:bCs/>
                <w:color w:val="FFFFFF" w:themeColor="background1"/>
              </w:rPr>
            </w:pPr>
            <w:r w:rsidRPr="008E0E1F">
              <w:t xml:space="preserve">The </w:t>
            </w:r>
            <w:r w:rsidR="00FF3DA9">
              <w:t>enhancement of the quality of students</w:t>
            </w:r>
            <w:r w:rsidR="001E4F5C">
              <w:t>'</w:t>
            </w:r>
            <w:r w:rsidR="00FF3DA9">
              <w:t xml:space="preserve"> learning opportunities </w:t>
            </w:r>
            <w:r>
              <w:t>by the provider</w:t>
            </w:r>
          </w:p>
        </w:tc>
      </w:tr>
      <w:tr w:rsidR="00DE208A" w:rsidRPr="00DB3851" w14:paraId="5CEEDA17" w14:textId="77777777" w:rsidTr="008644C6">
        <w:trPr>
          <w:trHeight w:val="555"/>
        </w:trPr>
        <w:tc>
          <w:tcPr>
            <w:tcW w:w="14312" w:type="dxa"/>
            <w:shd w:val="clear" w:color="auto" w:fill="D9D9D9"/>
          </w:tcPr>
          <w:p w14:paraId="77EEF397" w14:textId="4EB6F858" w:rsidR="00DE208A" w:rsidRPr="00070CEE" w:rsidRDefault="00DE208A" w:rsidP="00070CEE">
            <w:pPr>
              <w:spacing w:before="60" w:after="120"/>
              <w:rPr>
                <w:b/>
                <w:bCs/>
                <w:color w:val="000000" w:themeColor="text1"/>
                <w:sz w:val="24"/>
                <w:szCs w:val="24"/>
              </w:rPr>
            </w:pPr>
            <w:r w:rsidRPr="00070CEE">
              <w:rPr>
                <w:b/>
                <w:bCs/>
                <w:color w:val="000000" w:themeColor="text1"/>
                <w:sz w:val="24"/>
                <w:szCs w:val="24"/>
              </w:rPr>
              <w:t xml:space="preserve">Sector-Agreed Principle </w:t>
            </w:r>
            <w:r w:rsidR="00FF3DA9" w:rsidRPr="00070CEE">
              <w:rPr>
                <w:b/>
                <w:bCs/>
                <w:color w:val="000000" w:themeColor="text1"/>
                <w:sz w:val="24"/>
                <w:szCs w:val="24"/>
              </w:rPr>
              <w:t>4</w:t>
            </w:r>
            <w:r w:rsidR="00070CEE">
              <w:rPr>
                <w:b/>
                <w:bCs/>
                <w:color w:val="000000" w:themeColor="text1"/>
                <w:sz w:val="24"/>
                <w:szCs w:val="24"/>
              </w:rPr>
              <w:t>:</w:t>
            </w:r>
            <w:r w:rsidRPr="00070CEE">
              <w:rPr>
                <w:b/>
                <w:bCs/>
                <w:color w:val="000000" w:themeColor="text1"/>
                <w:sz w:val="24"/>
                <w:szCs w:val="24"/>
              </w:rPr>
              <w:t xml:space="preserve"> </w:t>
            </w:r>
            <w:r w:rsidR="00FE51C2" w:rsidRPr="00070CEE">
              <w:rPr>
                <w:b/>
                <w:bCs/>
                <w:color w:val="000000" w:themeColor="text1"/>
                <w:sz w:val="24"/>
                <w:szCs w:val="24"/>
              </w:rPr>
              <w:t xml:space="preserve">Using data to inform and evaluate </w:t>
            </w:r>
            <w:r w:rsidR="00457163" w:rsidRPr="00070CEE">
              <w:rPr>
                <w:b/>
                <w:bCs/>
                <w:color w:val="000000" w:themeColor="text1"/>
                <w:sz w:val="24"/>
                <w:szCs w:val="24"/>
              </w:rPr>
              <w:t>quality</w:t>
            </w:r>
          </w:p>
          <w:p w14:paraId="02EF13E2" w14:textId="6BD22DD2" w:rsidR="008644C6" w:rsidRPr="008644C6" w:rsidRDefault="008644C6" w:rsidP="00D41B55">
            <w:pPr>
              <w:spacing w:before="60" w:after="60"/>
              <w:rPr>
                <w:rFonts w:eastAsia="Arial"/>
                <w:b/>
                <w:color w:val="000000" w:themeColor="text1"/>
                <w:szCs w:val="22"/>
              </w:rPr>
            </w:pPr>
            <w:r w:rsidRPr="008644C6">
              <w:rPr>
                <w:i/>
                <w:iCs/>
                <w:szCs w:val="22"/>
              </w:rPr>
              <w:t xml:space="preserve">Providers collect, </w:t>
            </w:r>
            <w:proofErr w:type="gramStart"/>
            <w:r w:rsidRPr="008644C6">
              <w:rPr>
                <w:i/>
                <w:iCs/>
                <w:szCs w:val="22"/>
              </w:rPr>
              <w:t>analyse</w:t>
            </w:r>
            <w:proofErr w:type="gramEnd"/>
            <w:r w:rsidRPr="008644C6">
              <w:rPr>
                <w:i/>
                <w:iCs/>
                <w:szCs w:val="22"/>
              </w:rPr>
              <w:t xml:space="preserve"> and utilise qualitative and quantitative data at provider, departmental, programme and module levels. These analyses inform decision-making with the aim of enhancing practices and processes relating to teaching, learning and the wider student experience.</w:t>
            </w:r>
          </w:p>
          <w:p w14:paraId="6CADA70F" w14:textId="1E29E481" w:rsidR="008644C6" w:rsidRPr="008644C6" w:rsidRDefault="008644C6" w:rsidP="00D41B55">
            <w:pPr>
              <w:spacing w:before="60" w:after="60"/>
              <w:rPr>
                <w:rFonts w:eastAsia="Arial"/>
                <w:b/>
                <w:color w:val="000000" w:themeColor="text1"/>
                <w:szCs w:val="22"/>
              </w:rPr>
            </w:pPr>
          </w:p>
        </w:tc>
      </w:tr>
      <w:tr w:rsidR="00DE208A" w:rsidRPr="00DB3851" w14:paraId="0F391BEA" w14:textId="77777777" w:rsidTr="0070657B">
        <w:trPr>
          <w:trHeight w:val="1839"/>
        </w:trPr>
        <w:tc>
          <w:tcPr>
            <w:tcW w:w="14312" w:type="dxa"/>
            <w:shd w:val="clear" w:color="auto" w:fill="auto"/>
          </w:tcPr>
          <w:p w14:paraId="0D7ADFD6" w14:textId="77777777" w:rsidR="00DE208A" w:rsidRDefault="00DE208A" w:rsidP="00D41B55">
            <w:pPr>
              <w:pStyle w:val="Header"/>
              <w:spacing w:before="60" w:after="60"/>
              <w:rPr>
                <w:b/>
                <w:bCs/>
                <w:color w:val="000000" w:themeColor="text1"/>
                <w:szCs w:val="22"/>
              </w:rPr>
            </w:pPr>
            <w:r w:rsidRPr="00FB5D34">
              <w:rPr>
                <w:b/>
                <w:bCs/>
                <w:color w:val="000000" w:themeColor="text1"/>
                <w:szCs w:val="22"/>
              </w:rPr>
              <w:t>Key Practices</w:t>
            </w:r>
          </w:p>
          <w:p w14:paraId="40F28751" w14:textId="77777777" w:rsidR="0070657B" w:rsidRDefault="0070657B" w:rsidP="0070657B">
            <w:pPr>
              <w:pStyle w:val="Header"/>
              <w:spacing w:before="60" w:after="0"/>
              <w:rPr>
                <w:b/>
                <w:bCs/>
                <w:color w:val="000000" w:themeColor="text1"/>
                <w:szCs w:val="22"/>
              </w:rPr>
            </w:pPr>
          </w:p>
          <w:p w14:paraId="7780FA5A" w14:textId="77777777" w:rsidR="0079442F" w:rsidRPr="0070657B" w:rsidRDefault="0079442F" w:rsidP="0070657B">
            <w:pPr>
              <w:pStyle w:val="BulletedList"/>
              <w:numPr>
                <w:ilvl w:val="0"/>
                <w:numId w:val="33"/>
              </w:numPr>
              <w:ind w:left="567" w:hanging="567"/>
            </w:pPr>
            <w:r w:rsidRPr="0070657B">
              <w:t xml:space="preserve">A consistent, </w:t>
            </w:r>
            <w:proofErr w:type="gramStart"/>
            <w:r w:rsidRPr="0070657B">
              <w:t>coherent</w:t>
            </w:r>
            <w:proofErr w:type="gramEnd"/>
            <w:r w:rsidRPr="0070657B">
              <w:t xml:space="preserve"> and evidence-informed approach to the collection, storage and management of data is employed across the provider. The provider makes explicit the type and level of data utilised (such as departmental, programme, module level) and the policies and processes that underpin its use in the maintenance of academic standards and the assurance and enhancement of quality.</w:t>
            </w:r>
          </w:p>
          <w:p w14:paraId="2A113B0B" w14:textId="77777777" w:rsidR="0079442F" w:rsidRPr="0070657B" w:rsidRDefault="0079442F" w:rsidP="0070657B">
            <w:pPr>
              <w:pStyle w:val="BulletedList"/>
            </w:pPr>
            <w:r w:rsidRPr="0070657B">
              <w:t>Staff and students are aware of the types of data gathered and how it is stored and used in the management of quality and standards.</w:t>
            </w:r>
          </w:p>
          <w:p w14:paraId="7212E1A5" w14:textId="1ACEF46D" w:rsidR="0079442F" w:rsidRPr="0070657B" w:rsidRDefault="0079442F" w:rsidP="0070657B">
            <w:pPr>
              <w:pStyle w:val="BulletedList"/>
            </w:pPr>
            <w:r w:rsidRPr="0070657B">
              <w:t xml:space="preserve">When designing and implementing monitoring and evaluation arrangements, staff and students adhere </w:t>
            </w:r>
            <w:r w:rsidR="00EC4423" w:rsidRPr="0070657B">
              <w:t>to ethical</w:t>
            </w:r>
            <w:r w:rsidRPr="0070657B">
              <w:t xml:space="preserve"> and data protection requirements relating </w:t>
            </w:r>
            <w:r w:rsidR="003E1134" w:rsidRPr="0070657B">
              <w:t>to gathering</w:t>
            </w:r>
            <w:r w:rsidRPr="0070657B">
              <w:t xml:space="preserve"> and submitting data for national data sets, regulatory purposes, and internal monitoring and evaluation.</w:t>
            </w:r>
          </w:p>
          <w:p w14:paraId="5A053130" w14:textId="77777777" w:rsidR="00CA4F23" w:rsidRPr="0070657B" w:rsidRDefault="00CA4F23" w:rsidP="0070657B">
            <w:pPr>
              <w:pStyle w:val="BulletedList"/>
            </w:pPr>
            <w:r w:rsidRPr="0070657B">
              <w:t xml:space="preserve">Staff who are required to collect, </w:t>
            </w:r>
            <w:proofErr w:type="gramStart"/>
            <w:r w:rsidRPr="0070657B">
              <w:t>manipulate</w:t>
            </w:r>
            <w:proofErr w:type="gramEnd"/>
            <w:r w:rsidRPr="0070657B">
              <w:t xml:space="preserve"> and analyse data for reporting, quality assurance and enhancement purposes receive training that enables them to undertake these activities effectively, ethically and securely. Policies cover any third-party use of data, including applications utilising Generative Artificial Intelligence.</w:t>
            </w:r>
          </w:p>
          <w:p w14:paraId="143CD2BC" w14:textId="77777777" w:rsidR="00CA4F23" w:rsidRPr="0070657B" w:rsidRDefault="00CA4F23" w:rsidP="0070657B">
            <w:pPr>
              <w:pStyle w:val="BulletedList"/>
            </w:pPr>
            <w:r w:rsidRPr="0070657B">
              <w:t xml:space="preserve">Providers in partnership arrangements (including the student representative body, where applicable) ensure data sharing agreements and reporting requirements are clearly stated, </w:t>
            </w:r>
            <w:proofErr w:type="gramStart"/>
            <w:r w:rsidRPr="0070657B">
              <w:t>understood</w:t>
            </w:r>
            <w:proofErr w:type="gramEnd"/>
            <w:r w:rsidRPr="0070657B">
              <w:t xml:space="preserve"> and reviewed periodically.</w:t>
            </w:r>
          </w:p>
          <w:p w14:paraId="4C685C70" w14:textId="4F5B18A7" w:rsidR="00DE208A" w:rsidRPr="0070657B" w:rsidRDefault="00CA4F23" w:rsidP="0070657B">
            <w:pPr>
              <w:pStyle w:val="BulletedList"/>
            </w:pPr>
            <w:r w:rsidRPr="0070657B">
              <w:t>Data is collected and analysed in ways that enable providers to understand and respond to the needs of their student populations</w:t>
            </w:r>
            <w:r w:rsidR="00A40B22">
              <w:t xml:space="preserve"> -</w:t>
            </w:r>
            <w:r w:rsidR="007379F1" w:rsidRPr="0070657B">
              <w:t xml:space="preserve"> pr</w:t>
            </w:r>
            <w:r w:rsidR="00EC4423" w:rsidRPr="0070657B">
              <w:t>o</w:t>
            </w:r>
            <w:r w:rsidR="007379F1" w:rsidRPr="0070657B">
              <w:t>moting equality, diversity and inclusion, and environmental sustainability.</w:t>
            </w:r>
          </w:p>
          <w:p w14:paraId="1000F163" w14:textId="5ED785F4" w:rsidR="00D6558D" w:rsidRPr="00CA4F23" w:rsidRDefault="00D6558D" w:rsidP="00D6558D">
            <w:pPr>
              <w:pStyle w:val="BulletedList"/>
              <w:numPr>
                <w:ilvl w:val="0"/>
                <w:numId w:val="0"/>
              </w:numPr>
              <w:ind w:left="567"/>
            </w:pPr>
          </w:p>
        </w:tc>
      </w:tr>
    </w:tbl>
    <w:p w14:paraId="4735058F" w14:textId="77777777" w:rsidR="007A5850" w:rsidRDefault="007A5850">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8644C6" w:rsidRPr="00DB3851" w14:paraId="42E3CB55" w14:textId="77777777" w:rsidTr="00F43D7B">
        <w:trPr>
          <w:trHeight w:val="567"/>
        </w:trPr>
        <w:tc>
          <w:tcPr>
            <w:tcW w:w="14312" w:type="dxa"/>
            <w:shd w:val="clear" w:color="auto" w:fill="C6EAB8"/>
          </w:tcPr>
          <w:p w14:paraId="2DFC4B5C" w14:textId="07CC646B" w:rsidR="008644C6" w:rsidRPr="008644C6" w:rsidRDefault="008644C6" w:rsidP="00D41B55">
            <w:pPr>
              <w:pStyle w:val="QAAnormal"/>
              <w:ind w:right="1134"/>
              <w:rPr>
                <w:rFonts w:cs="Arial"/>
                <w:b/>
                <w:bCs/>
                <w:color w:val="000000" w:themeColor="text1"/>
                <w:sz w:val="24"/>
                <w:szCs w:val="24"/>
              </w:rPr>
            </w:pPr>
            <w:r w:rsidRPr="008644C6">
              <w:rPr>
                <w:rFonts w:cs="Arial"/>
                <w:b/>
                <w:bCs/>
                <w:color w:val="000000" w:themeColor="text1"/>
                <w:sz w:val="24"/>
                <w:szCs w:val="24"/>
              </w:rPr>
              <w:lastRenderedPageBreak/>
              <w:t>Part 1</w:t>
            </w:r>
          </w:p>
        </w:tc>
      </w:tr>
      <w:tr w:rsidR="00DE208A" w:rsidRPr="00DB3851" w14:paraId="19B583C8" w14:textId="77777777" w:rsidTr="008644C6">
        <w:trPr>
          <w:trHeight w:val="1839"/>
        </w:trPr>
        <w:tc>
          <w:tcPr>
            <w:tcW w:w="14312" w:type="dxa"/>
            <w:shd w:val="clear" w:color="auto" w:fill="FFFFFF" w:themeFill="background1"/>
          </w:tcPr>
          <w:p w14:paraId="1AAD807A" w14:textId="429BE5E5" w:rsidR="00DE208A" w:rsidRPr="007A5850" w:rsidRDefault="00AB3BDF" w:rsidP="00D6558D">
            <w:pPr>
              <w:pStyle w:val="QAAnormal"/>
              <w:ind w:right="460"/>
              <w:rPr>
                <w:b/>
                <w:bCs/>
                <w:color w:val="000000" w:themeColor="text1"/>
              </w:rPr>
            </w:pPr>
            <w:r w:rsidRPr="007A5850">
              <w:rPr>
                <w:rFonts w:cs="Arial"/>
                <w:b/>
                <w:bCs/>
                <w:color w:val="000000" w:themeColor="text1"/>
              </w:rPr>
              <w:t>List</w:t>
            </w:r>
            <w:r w:rsidR="00DE208A" w:rsidRPr="007A5850">
              <w:rPr>
                <w:rFonts w:cs="Arial"/>
                <w:b/>
                <w:bCs/>
                <w:color w:val="000000" w:themeColor="text1"/>
              </w:rPr>
              <w:t xml:space="preserve"> the evidence you believe will assist the review team in making a judgement on whether you demonstrate adherence to </w:t>
            </w:r>
            <w:r w:rsidR="00A40B22">
              <w:rPr>
                <w:rFonts w:cs="Arial"/>
                <w:b/>
                <w:bCs/>
                <w:color w:val="000000" w:themeColor="text1"/>
              </w:rPr>
              <w:t xml:space="preserve"> </w:t>
            </w:r>
            <w:r w:rsidR="00DE208A" w:rsidRPr="007A5850">
              <w:rPr>
                <w:rFonts w:cs="Arial"/>
                <w:b/>
                <w:bCs/>
                <w:color w:val="000000" w:themeColor="text1"/>
              </w:rPr>
              <w:t>Se</w:t>
            </w:r>
            <w:r w:rsidR="00DE208A" w:rsidRPr="007A5850">
              <w:rPr>
                <w:b/>
                <w:bCs/>
                <w:color w:val="000000" w:themeColor="text1"/>
              </w:rPr>
              <w:t xml:space="preserve">ctor-Agreed Principle </w:t>
            </w:r>
            <w:r w:rsidR="007379F1" w:rsidRPr="007A5850">
              <w:rPr>
                <w:b/>
                <w:bCs/>
                <w:color w:val="000000" w:themeColor="text1"/>
              </w:rPr>
              <w:t>4</w:t>
            </w:r>
            <w:r w:rsidR="00DE208A" w:rsidRPr="007A5850">
              <w:rPr>
                <w:rFonts w:cs="Arial"/>
                <w:b/>
                <w:bCs/>
                <w:color w:val="000000" w:themeColor="text1"/>
              </w:rPr>
              <w:t>.</w:t>
            </w:r>
            <w:r w:rsidR="00DE208A" w:rsidRPr="007A5850">
              <w:rPr>
                <w:b/>
                <w:bCs/>
                <w:color w:val="000000" w:themeColor="text1"/>
              </w:rPr>
              <w:t xml:space="preserve"> </w:t>
            </w:r>
          </w:p>
          <w:p w14:paraId="65D00C6D" w14:textId="77777777" w:rsidR="00A91D39" w:rsidRDefault="00A91D39" w:rsidP="00D6558D">
            <w:pPr>
              <w:pStyle w:val="QAAnormal"/>
              <w:ind w:right="460"/>
              <w:rPr>
                <w:rFonts w:cs="Arial"/>
                <w:color w:val="000000" w:themeColor="text1"/>
              </w:rPr>
            </w:pPr>
          </w:p>
          <w:p w14:paraId="48D2A33F" w14:textId="2C343572" w:rsidR="00A91D39" w:rsidRDefault="00A91D39" w:rsidP="00A91D39">
            <w:pPr>
              <w:pStyle w:val="QAAnormal"/>
              <w:ind w:right="1134"/>
              <w:rPr>
                <w:rFonts w:cs="Arial"/>
                <w:color w:val="000000" w:themeColor="text1"/>
              </w:rPr>
            </w:pPr>
            <w:r>
              <w:rPr>
                <w:i/>
                <w:iCs/>
              </w:rPr>
              <w:t>[Add text]</w:t>
            </w:r>
          </w:p>
          <w:p w14:paraId="0D26847E" w14:textId="77777777" w:rsidR="00DE208A" w:rsidRPr="70FB7DD3" w:rsidRDefault="00DE208A" w:rsidP="00D41B55">
            <w:pPr>
              <w:pStyle w:val="QAAnormal"/>
              <w:ind w:right="1134"/>
              <w:rPr>
                <w:rFonts w:cs="Arial"/>
                <w:color w:val="000000" w:themeColor="text1"/>
              </w:rPr>
            </w:pPr>
          </w:p>
        </w:tc>
      </w:tr>
      <w:tr w:rsidR="008644C6" w:rsidRPr="00DB3851" w14:paraId="6FA59F20" w14:textId="77777777" w:rsidTr="00F43D7B">
        <w:trPr>
          <w:trHeight w:val="567"/>
        </w:trPr>
        <w:tc>
          <w:tcPr>
            <w:tcW w:w="14312" w:type="dxa"/>
            <w:shd w:val="clear" w:color="auto" w:fill="C6EAB8"/>
          </w:tcPr>
          <w:p w14:paraId="0895A347" w14:textId="2A4A7AA2" w:rsidR="008644C6" w:rsidRPr="0070657B" w:rsidRDefault="0070657B" w:rsidP="00D41B55">
            <w:pPr>
              <w:pStyle w:val="QAAnormal"/>
              <w:ind w:right="1134"/>
              <w:rPr>
                <w:rFonts w:cs="Arial"/>
                <w:b/>
                <w:bCs/>
                <w:color w:val="000000" w:themeColor="text1"/>
                <w:sz w:val="24"/>
                <w:szCs w:val="24"/>
              </w:rPr>
            </w:pPr>
            <w:r w:rsidRPr="0070657B">
              <w:rPr>
                <w:rFonts w:cs="Arial"/>
                <w:b/>
                <w:bCs/>
                <w:color w:val="000000" w:themeColor="text1"/>
                <w:sz w:val="24"/>
                <w:szCs w:val="24"/>
              </w:rPr>
              <w:t>Part 2</w:t>
            </w:r>
          </w:p>
        </w:tc>
      </w:tr>
      <w:tr w:rsidR="00CB1A35" w:rsidRPr="00DB3851" w14:paraId="083F7853" w14:textId="77777777" w:rsidTr="0070657B">
        <w:trPr>
          <w:trHeight w:val="1839"/>
        </w:trPr>
        <w:tc>
          <w:tcPr>
            <w:tcW w:w="14312" w:type="dxa"/>
            <w:shd w:val="clear" w:color="auto" w:fill="FFFFFF" w:themeFill="background1"/>
          </w:tcPr>
          <w:p w14:paraId="0043E1A5" w14:textId="74CD967B" w:rsidR="00CB1A35" w:rsidRPr="007A5850" w:rsidRDefault="00EA6551" w:rsidP="00DD0ABF">
            <w:pPr>
              <w:pStyle w:val="QAAnormal"/>
              <w:ind w:right="397"/>
              <w:rPr>
                <w:b/>
                <w:bCs/>
              </w:rPr>
            </w:pPr>
            <w:r w:rsidRPr="007A5850">
              <w:rPr>
                <w:b/>
                <w:bCs/>
              </w:rPr>
              <w:t>H</w:t>
            </w:r>
            <w:r w:rsidR="00CB1A35" w:rsidRPr="007A5850">
              <w:rPr>
                <w:b/>
                <w:bCs/>
              </w:rPr>
              <w:t xml:space="preserve">ighlight which parts of your evidence submission (listed in </w:t>
            </w:r>
            <w:r w:rsidR="00A40B22">
              <w:rPr>
                <w:b/>
                <w:bCs/>
              </w:rPr>
              <w:t>Part 1</w:t>
            </w:r>
            <w:r w:rsidR="00CB1A35" w:rsidRPr="007A5850">
              <w:rPr>
                <w:b/>
                <w:bCs/>
              </w:rPr>
              <w:t xml:space="preserve"> </w:t>
            </w:r>
            <w:r w:rsidR="001F6DFE" w:rsidRPr="007A5850">
              <w:rPr>
                <w:b/>
                <w:bCs/>
              </w:rPr>
              <w:t>above</w:t>
            </w:r>
            <w:r w:rsidR="00CB1A35" w:rsidRPr="007A5850">
              <w:rPr>
                <w:b/>
                <w:bCs/>
              </w:rPr>
              <w:t>) the review team may wish to consider when forming a judgement as to whether you demonstrate adherence to Sector-Agreed Principle 4. Where applicable, include references to specific parts, sections or paragraphs of documents.</w:t>
            </w:r>
          </w:p>
          <w:p w14:paraId="49FCE996" w14:textId="77777777" w:rsidR="00A91D39" w:rsidRDefault="00A91D39" w:rsidP="00D41B55">
            <w:pPr>
              <w:pStyle w:val="QAAnormal"/>
              <w:ind w:right="1134"/>
              <w:rPr>
                <w:rFonts w:cs="Arial"/>
                <w:b/>
                <w:bCs/>
                <w:color w:val="000000" w:themeColor="text1"/>
              </w:rPr>
            </w:pPr>
          </w:p>
          <w:p w14:paraId="176F12C3" w14:textId="77777777" w:rsidR="00A91D39" w:rsidRDefault="00A91D39" w:rsidP="00A91D39">
            <w:pPr>
              <w:pStyle w:val="QAAnormal"/>
              <w:ind w:right="1134"/>
              <w:rPr>
                <w:i/>
                <w:iCs/>
              </w:rPr>
            </w:pPr>
            <w:r>
              <w:rPr>
                <w:i/>
                <w:iCs/>
              </w:rPr>
              <w:t>[Add text]</w:t>
            </w:r>
          </w:p>
          <w:p w14:paraId="29F78326" w14:textId="77777777" w:rsidR="00A91D39" w:rsidRPr="00D6558D" w:rsidRDefault="00A91D39" w:rsidP="00D41B55">
            <w:pPr>
              <w:pStyle w:val="QAAnormal"/>
              <w:ind w:right="1134"/>
              <w:rPr>
                <w:rFonts w:cs="Arial"/>
                <w:b/>
                <w:bCs/>
                <w:color w:val="000000" w:themeColor="text1"/>
              </w:rPr>
            </w:pPr>
          </w:p>
          <w:p w14:paraId="7F736039" w14:textId="2B182474" w:rsidR="00CB1A35" w:rsidRPr="00CB1A35" w:rsidRDefault="00CB1A35" w:rsidP="00D41B55">
            <w:pPr>
              <w:pStyle w:val="QAAnormal"/>
              <w:ind w:right="1134"/>
              <w:rPr>
                <w:rFonts w:cs="Arial"/>
                <w:b/>
                <w:bCs/>
                <w:color w:val="000000" w:themeColor="text1"/>
              </w:rPr>
            </w:pPr>
          </w:p>
        </w:tc>
      </w:tr>
      <w:tr w:rsidR="008644C6" w:rsidRPr="00DB3851" w14:paraId="3EAFF59A" w14:textId="77777777" w:rsidTr="0070657B">
        <w:trPr>
          <w:trHeight w:val="564"/>
        </w:trPr>
        <w:tc>
          <w:tcPr>
            <w:tcW w:w="14312" w:type="dxa"/>
            <w:shd w:val="clear" w:color="auto" w:fill="C6EAB8"/>
          </w:tcPr>
          <w:p w14:paraId="2F2522AC" w14:textId="59A7F21D" w:rsidR="008644C6" w:rsidRPr="0070657B" w:rsidRDefault="0070657B" w:rsidP="00D41B55">
            <w:pPr>
              <w:pStyle w:val="QAAnormal"/>
              <w:ind w:right="1134"/>
              <w:rPr>
                <w:rFonts w:cs="Arial"/>
                <w:b/>
                <w:bCs/>
                <w:color w:val="000000" w:themeColor="text1"/>
                <w:sz w:val="24"/>
                <w:szCs w:val="24"/>
              </w:rPr>
            </w:pPr>
            <w:r w:rsidRPr="0070657B">
              <w:rPr>
                <w:rFonts w:cs="Arial"/>
                <w:b/>
                <w:bCs/>
                <w:color w:val="000000" w:themeColor="text1"/>
                <w:sz w:val="24"/>
                <w:szCs w:val="24"/>
              </w:rPr>
              <w:t>Part 3</w:t>
            </w:r>
          </w:p>
        </w:tc>
      </w:tr>
      <w:tr w:rsidR="00CB1A35" w:rsidRPr="00DB3851" w14:paraId="107DEA55" w14:textId="77777777" w:rsidTr="0070657B">
        <w:trPr>
          <w:trHeight w:val="1839"/>
        </w:trPr>
        <w:tc>
          <w:tcPr>
            <w:tcW w:w="14312" w:type="dxa"/>
            <w:shd w:val="clear" w:color="auto" w:fill="FFFFFF" w:themeFill="background1"/>
          </w:tcPr>
          <w:p w14:paraId="505D599D" w14:textId="77777777" w:rsidR="00CB1A35" w:rsidRPr="007A5850" w:rsidRDefault="00CB1A35" w:rsidP="00D41B55">
            <w:pPr>
              <w:pStyle w:val="QAAnormal"/>
              <w:ind w:right="1134"/>
              <w:rPr>
                <w:b/>
                <w:bCs/>
                <w:color w:val="000000" w:themeColor="text1"/>
              </w:rPr>
            </w:pPr>
            <w:r w:rsidRPr="007A5850">
              <w:rPr>
                <w:b/>
                <w:bCs/>
                <w:color w:val="000000" w:themeColor="text1"/>
              </w:rPr>
              <w:t>Detail why you consider this evidence demonstrates that you adhere to Sector-Agreed Principle 4.</w:t>
            </w:r>
          </w:p>
          <w:p w14:paraId="4999790E" w14:textId="77777777" w:rsidR="00A91D39" w:rsidRDefault="00A91D39" w:rsidP="00D41B55">
            <w:pPr>
              <w:pStyle w:val="QAAnormal"/>
              <w:ind w:right="1134"/>
              <w:rPr>
                <w:rFonts w:cs="Arial"/>
                <w:b/>
                <w:bCs/>
                <w:color w:val="000000" w:themeColor="text1"/>
              </w:rPr>
            </w:pPr>
          </w:p>
          <w:p w14:paraId="1FC5E275" w14:textId="77777777" w:rsidR="00A91D39" w:rsidRDefault="00A91D39" w:rsidP="00A91D39">
            <w:pPr>
              <w:pStyle w:val="QAAnormal"/>
              <w:ind w:right="1134"/>
              <w:rPr>
                <w:i/>
                <w:iCs/>
              </w:rPr>
            </w:pPr>
            <w:r>
              <w:rPr>
                <w:i/>
                <w:iCs/>
              </w:rPr>
              <w:t>[Add text]</w:t>
            </w:r>
          </w:p>
          <w:p w14:paraId="403D7352" w14:textId="3AB8947D" w:rsidR="00A91D39" w:rsidRPr="00D6558D" w:rsidRDefault="00A91D39" w:rsidP="00D41B55">
            <w:pPr>
              <w:pStyle w:val="QAAnormal"/>
              <w:ind w:right="1134"/>
              <w:rPr>
                <w:rFonts w:cs="Arial"/>
                <w:b/>
                <w:bCs/>
                <w:color w:val="000000" w:themeColor="text1"/>
              </w:rPr>
            </w:pPr>
          </w:p>
        </w:tc>
      </w:tr>
    </w:tbl>
    <w:p w14:paraId="73B6E044" w14:textId="77777777" w:rsidR="00DE208A" w:rsidRDefault="00DE208A" w:rsidP="00DE208A">
      <w:pPr>
        <w:rPr>
          <w:i/>
          <w:iCs/>
          <w:sz w:val="20"/>
        </w:rPr>
      </w:pPr>
      <w:r w:rsidRPr="4CD64A79">
        <w:rPr>
          <w:i/>
          <w:iCs/>
          <w:sz w:val="20"/>
        </w:rPr>
        <w:t>The table above will expand accordingly - the size of the table in this template is not an indicator as to the amount of detail you may provide.</w:t>
      </w:r>
    </w:p>
    <w:p w14:paraId="49C68E6F" w14:textId="1A7800E4" w:rsidR="00CB1A35" w:rsidRDefault="00CB1A35">
      <w:pPr>
        <w:widowControl/>
        <w:spacing w:after="0"/>
      </w:pPr>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645556" w:rsidRPr="00DB3851" w14:paraId="36116B79" w14:textId="77777777" w:rsidTr="0070657B">
        <w:trPr>
          <w:trHeight w:val="555"/>
        </w:trPr>
        <w:tc>
          <w:tcPr>
            <w:tcW w:w="14312" w:type="dxa"/>
            <w:shd w:val="clear" w:color="auto" w:fill="C6EAB8"/>
          </w:tcPr>
          <w:p w14:paraId="12598C3F" w14:textId="38460A5D" w:rsidR="00645556" w:rsidRPr="00B50C81" w:rsidRDefault="00645556" w:rsidP="00D41B55">
            <w:pPr>
              <w:spacing w:before="60" w:after="120"/>
              <w:rPr>
                <w:b/>
                <w:bCs/>
                <w:sz w:val="24"/>
                <w:szCs w:val="24"/>
              </w:rPr>
            </w:pPr>
            <w:bookmarkStart w:id="7" w:name="_Hlk174116622"/>
            <w:r w:rsidRPr="00B50C81">
              <w:rPr>
                <w:b/>
                <w:bCs/>
                <w:sz w:val="24"/>
                <w:szCs w:val="24"/>
              </w:rPr>
              <w:lastRenderedPageBreak/>
              <w:t xml:space="preserve">Home Office </w:t>
            </w:r>
            <w:r w:rsidR="0070657B" w:rsidRPr="00B50C81">
              <w:rPr>
                <w:b/>
                <w:bCs/>
                <w:sz w:val="24"/>
                <w:szCs w:val="24"/>
              </w:rPr>
              <w:t>R</w:t>
            </w:r>
            <w:r w:rsidRPr="00B50C81">
              <w:rPr>
                <w:b/>
                <w:bCs/>
                <w:sz w:val="24"/>
                <w:szCs w:val="24"/>
              </w:rPr>
              <w:t>equirement 3:</w:t>
            </w:r>
          </w:p>
          <w:p w14:paraId="10660D1A" w14:textId="5FEB0E90" w:rsidR="00645556" w:rsidRDefault="00645556" w:rsidP="00D41B55">
            <w:pPr>
              <w:spacing w:before="60" w:after="120"/>
              <w:rPr>
                <w:b/>
                <w:bCs/>
                <w:color w:val="FFFFFF" w:themeColor="background1"/>
              </w:rPr>
            </w:pPr>
            <w:r w:rsidRPr="008E0E1F">
              <w:t xml:space="preserve">The </w:t>
            </w:r>
            <w:r>
              <w:t>enhancement of the quality of students</w:t>
            </w:r>
            <w:r w:rsidR="001E4F5C">
              <w:t>'</w:t>
            </w:r>
            <w:r>
              <w:t xml:space="preserve"> learning opportunities by the provider</w:t>
            </w:r>
          </w:p>
        </w:tc>
      </w:tr>
      <w:tr w:rsidR="00645556" w:rsidRPr="00DB3851" w14:paraId="31C827E3" w14:textId="77777777" w:rsidTr="0070657B">
        <w:trPr>
          <w:trHeight w:val="555"/>
        </w:trPr>
        <w:tc>
          <w:tcPr>
            <w:tcW w:w="14312" w:type="dxa"/>
            <w:shd w:val="clear" w:color="auto" w:fill="D9D9D9"/>
          </w:tcPr>
          <w:p w14:paraId="04391605" w14:textId="0E12E865" w:rsidR="00645556" w:rsidRPr="00B50C81" w:rsidRDefault="00645556" w:rsidP="00B50C81">
            <w:pPr>
              <w:spacing w:before="60" w:after="120"/>
              <w:rPr>
                <w:b/>
                <w:bCs/>
                <w:color w:val="000000" w:themeColor="text1"/>
                <w:sz w:val="24"/>
                <w:szCs w:val="24"/>
              </w:rPr>
            </w:pPr>
            <w:r w:rsidRPr="00B50C81">
              <w:rPr>
                <w:b/>
                <w:bCs/>
                <w:color w:val="000000" w:themeColor="text1"/>
                <w:sz w:val="24"/>
                <w:szCs w:val="24"/>
              </w:rPr>
              <w:t xml:space="preserve">Sector-Agreed Principle </w:t>
            </w:r>
            <w:r w:rsidR="00564577" w:rsidRPr="00B50C81">
              <w:rPr>
                <w:b/>
                <w:bCs/>
                <w:color w:val="000000" w:themeColor="text1"/>
                <w:sz w:val="24"/>
                <w:szCs w:val="24"/>
              </w:rPr>
              <w:t>5</w:t>
            </w:r>
            <w:r w:rsidR="00A40B22">
              <w:rPr>
                <w:b/>
                <w:bCs/>
                <w:color w:val="000000" w:themeColor="text1"/>
                <w:sz w:val="24"/>
                <w:szCs w:val="24"/>
              </w:rPr>
              <w:t>:</w:t>
            </w:r>
            <w:r w:rsidRPr="00B50C81">
              <w:rPr>
                <w:b/>
                <w:bCs/>
                <w:color w:val="000000" w:themeColor="text1"/>
                <w:sz w:val="24"/>
                <w:szCs w:val="24"/>
              </w:rPr>
              <w:t xml:space="preserve"> </w:t>
            </w:r>
            <w:r w:rsidR="00564577" w:rsidRPr="00B50C81">
              <w:rPr>
                <w:b/>
                <w:bCs/>
                <w:color w:val="000000" w:themeColor="text1"/>
                <w:sz w:val="24"/>
                <w:szCs w:val="24"/>
              </w:rPr>
              <w:t xml:space="preserve">Monitoring, </w:t>
            </w:r>
            <w:proofErr w:type="gramStart"/>
            <w:r w:rsidRPr="00B50C81">
              <w:rPr>
                <w:b/>
                <w:bCs/>
                <w:color w:val="000000" w:themeColor="text1"/>
                <w:sz w:val="24"/>
                <w:szCs w:val="24"/>
              </w:rPr>
              <w:t>evaluat</w:t>
            </w:r>
            <w:r w:rsidR="00564577" w:rsidRPr="00B50C81">
              <w:rPr>
                <w:b/>
                <w:bCs/>
                <w:color w:val="000000" w:themeColor="text1"/>
                <w:sz w:val="24"/>
                <w:szCs w:val="24"/>
              </w:rPr>
              <w:t>ing</w:t>
            </w:r>
            <w:proofErr w:type="gramEnd"/>
            <w:r w:rsidR="00564577" w:rsidRPr="00B50C81">
              <w:rPr>
                <w:b/>
                <w:bCs/>
                <w:color w:val="000000" w:themeColor="text1"/>
                <w:sz w:val="24"/>
                <w:szCs w:val="24"/>
              </w:rPr>
              <w:t xml:space="preserve"> and enhancing provision</w:t>
            </w:r>
          </w:p>
          <w:p w14:paraId="31EBB5A8" w14:textId="066A19FA" w:rsidR="0070657B" w:rsidRPr="0070657B" w:rsidRDefault="0070657B" w:rsidP="00D41B55">
            <w:pPr>
              <w:spacing w:before="60" w:after="60"/>
              <w:rPr>
                <w:b/>
                <w:bCs/>
                <w:color w:val="000000" w:themeColor="text1"/>
                <w:szCs w:val="22"/>
              </w:rPr>
            </w:pPr>
            <w:r w:rsidRPr="0070657B">
              <w:rPr>
                <w:i/>
                <w:iCs/>
                <w:szCs w:val="22"/>
              </w:rPr>
              <w:t>Providers regularly monitor and review their provision to secure academic standards and enhance quality. Deliberate steps are taken to engage and involve students, staff and external expertise in monitoring and evaluation activity. The outcomes and impact of these activities are considered at provider level and conveyed to the governing body to drive reflection and enhancement across the provider.</w:t>
            </w:r>
          </w:p>
          <w:p w14:paraId="5554D04E" w14:textId="4607BAAE" w:rsidR="0070657B" w:rsidRPr="00DB3851" w:rsidRDefault="0070657B" w:rsidP="00D41B55">
            <w:pPr>
              <w:spacing w:before="60" w:after="60"/>
              <w:rPr>
                <w:rFonts w:eastAsia="Arial"/>
                <w:b/>
                <w:color w:val="FFFFFF" w:themeColor="background1"/>
                <w:szCs w:val="22"/>
              </w:rPr>
            </w:pPr>
          </w:p>
        </w:tc>
      </w:tr>
      <w:tr w:rsidR="00645556" w:rsidRPr="00DB3851" w14:paraId="0D6203EB" w14:textId="77777777" w:rsidTr="0070657B">
        <w:trPr>
          <w:trHeight w:val="1839"/>
        </w:trPr>
        <w:tc>
          <w:tcPr>
            <w:tcW w:w="14312" w:type="dxa"/>
            <w:shd w:val="clear" w:color="auto" w:fill="auto"/>
          </w:tcPr>
          <w:p w14:paraId="1853BCF7" w14:textId="77777777" w:rsidR="00645556" w:rsidRDefault="00645556" w:rsidP="00D41B55">
            <w:pPr>
              <w:pStyle w:val="Header"/>
              <w:spacing w:before="60" w:after="60"/>
              <w:rPr>
                <w:b/>
                <w:bCs/>
                <w:color w:val="000000" w:themeColor="text1"/>
                <w:szCs w:val="22"/>
              </w:rPr>
            </w:pPr>
            <w:r w:rsidRPr="00FB5D34">
              <w:rPr>
                <w:b/>
                <w:bCs/>
                <w:color w:val="000000" w:themeColor="text1"/>
                <w:szCs w:val="22"/>
              </w:rPr>
              <w:t>Key Practices</w:t>
            </w:r>
          </w:p>
          <w:p w14:paraId="4DADB8B9" w14:textId="77777777" w:rsidR="0070657B" w:rsidRDefault="0070657B" w:rsidP="0070657B">
            <w:pPr>
              <w:pStyle w:val="Header"/>
              <w:spacing w:before="60" w:after="0"/>
              <w:rPr>
                <w:b/>
                <w:bCs/>
                <w:color w:val="000000" w:themeColor="text1"/>
                <w:szCs w:val="22"/>
              </w:rPr>
            </w:pPr>
          </w:p>
          <w:p w14:paraId="05D4ECDB" w14:textId="77777777" w:rsidR="00493297" w:rsidRPr="0070657B" w:rsidRDefault="00493297" w:rsidP="0070657B">
            <w:pPr>
              <w:pStyle w:val="BulletedList"/>
              <w:numPr>
                <w:ilvl w:val="0"/>
                <w:numId w:val="20"/>
              </w:numPr>
              <w:ind w:left="567" w:hanging="567"/>
            </w:pPr>
            <w:r w:rsidRPr="0070657B">
              <w:t>Providers agree strategic principles for monitoring and evaluation to ensure processes are applied systematically and operated consistently and appropriate to their operational context.</w:t>
            </w:r>
          </w:p>
          <w:p w14:paraId="548F454E" w14:textId="77777777" w:rsidR="00493297" w:rsidRPr="0070657B" w:rsidRDefault="00493297" w:rsidP="0070657B">
            <w:pPr>
              <w:pStyle w:val="BulletedList"/>
            </w:pPr>
            <w:r w:rsidRPr="0070657B">
              <w:t>The methods for monitoring and evaluation activity are documented to clarify their aims, objectives, intended actions and targets. They are explicit about how they will be conducted, the nature of evidence (data) to be considered and the form of reporting, along with key indicators of success.</w:t>
            </w:r>
          </w:p>
          <w:p w14:paraId="07A85296" w14:textId="77777777" w:rsidR="00CC0E69" w:rsidRPr="0070657B" w:rsidRDefault="00493297" w:rsidP="0070657B">
            <w:pPr>
              <w:pStyle w:val="BulletedList"/>
            </w:pPr>
            <w:r w:rsidRPr="0070657B">
              <w:t>Staff and students are engaged in monitoring and</w:t>
            </w:r>
            <w:r w:rsidR="00CC0E69" w:rsidRPr="0070657B">
              <w:t xml:space="preserve"> evaluation activities and receive appropriate training and support to undertake them.</w:t>
            </w:r>
          </w:p>
          <w:p w14:paraId="5F74EE13" w14:textId="77777777" w:rsidR="00CC0E69" w:rsidRPr="0070657B" w:rsidRDefault="00CC0E69" w:rsidP="0070657B">
            <w:pPr>
              <w:pStyle w:val="BulletedList"/>
            </w:pPr>
            <w:r w:rsidRPr="0070657B">
              <w:t>The actions and outcomes from monitoring and evaluation activities are communicated in an accessible manner to staff, students, the governing body and, where required, external stakeholders.</w:t>
            </w:r>
          </w:p>
          <w:p w14:paraId="23DE47D7" w14:textId="77777777" w:rsidR="00CC0E69" w:rsidRPr="0070657B" w:rsidRDefault="00CC0E69" w:rsidP="0070657B">
            <w:pPr>
              <w:pStyle w:val="BulletedList"/>
            </w:pPr>
            <w:r w:rsidRPr="0070657B">
              <w:t xml:space="preserve">Improvements and enhancements that have been implemented </w:t>
            </w:r>
            <w:proofErr w:type="gramStart"/>
            <w:r w:rsidRPr="0070657B">
              <w:t>as a result of</w:t>
            </w:r>
            <w:proofErr w:type="gramEnd"/>
            <w:r w:rsidRPr="0070657B">
              <w:t xml:space="preserve"> monitoring and evaluation are, in turn, monitored and evaluated to ensure their impact is positive and remains fit for purpose.</w:t>
            </w:r>
          </w:p>
          <w:p w14:paraId="2176BD07" w14:textId="5FF1A523" w:rsidR="00CC0E69" w:rsidRPr="0070657B" w:rsidRDefault="00CC0E69" w:rsidP="0070657B">
            <w:pPr>
              <w:pStyle w:val="BulletedList"/>
            </w:pPr>
            <w:r w:rsidRPr="0070657B">
              <w:t>Monitoring and evaluation activity facilitates providers</w:t>
            </w:r>
            <w:r w:rsidR="001E4F5C" w:rsidRPr="0070657B">
              <w:t>'</w:t>
            </w:r>
            <w:r w:rsidRPr="0070657B">
              <w:t xml:space="preserve"> insights and promotion of equality, diversity and inclusion, and education for sustainable development.</w:t>
            </w:r>
          </w:p>
          <w:p w14:paraId="22B6FFD5" w14:textId="77777777" w:rsidR="00645556" w:rsidRDefault="00CC0E69" w:rsidP="0070657B">
            <w:pPr>
              <w:pStyle w:val="BulletedList"/>
            </w:pPr>
            <w:r w:rsidRPr="0070657B">
              <w:t xml:space="preserve">Programmes and modules are monitored and reviewed regularly by internal and external peers, </w:t>
            </w:r>
            <w:proofErr w:type="gramStart"/>
            <w:r w:rsidRPr="0070657B">
              <w:t>employers</w:t>
            </w:r>
            <w:proofErr w:type="gramEnd"/>
            <w:r w:rsidRPr="0070657B">
              <w:t xml:space="preserve"> and students, in line with the provider</w:t>
            </w:r>
            <w:r w:rsidR="001E4F5C" w:rsidRPr="0070657B">
              <w:t>'</w:t>
            </w:r>
            <w:r w:rsidRPr="0070657B">
              <w:t>s strategic approach to quality and standards. Outcomes from processes required from funding, accrediting, professional and approval bodies feed into monitoring and</w:t>
            </w:r>
            <w:r w:rsidR="009E0A63" w:rsidRPr="0070657B">
              <w:t xml:space="preserve"> review.</w:t>
            </w:r>
          </w:p>
          <w:p w14:paraId="73FB5E6A" w14:textId="79851F16" w:rsidR="0070657B" w:rsidRPr="00CC0E69" w:rsidRDefault="0070657B" w:rsidP="0070657B">
            <w:pPr>
              <w:pStyle w:val="BulletedList"/>
              <w:numPr>
                <w:ilvl w:val="0"/>
                <w:numId w:val="0"/>
              </w:numPr>
              <w:ind w:left="567"/>
            </w:pPr>
          </w:p>
        </w:tc>
      </w:tr>
    </w:tbl>
    <w:p w14:paraId="20C12252" w14:textId="77777777" w:rsidR="0070657B" w:rsidRDefault="0070657B">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70657B" w:rsidRPr="00DB3851" w14:paraId="549D83C1" w14:textId="77777777" w:rsidTr="006711AB">
        <w:trPr>
          <w:trHeight w:val="567"/>
        </w:trPr>
        <w:tc>
          <w:tcPr>
            <w:tcW w:w="14312" w:type="dxa"/>
            <w:shd w:val="clear" w:color="auto" w:fill="C6EAB8"/>
          </w:tcPr>
          <w:p w14:paraId="2ECB9EF2" w14:textId="43B8B9EA" w:rsidR="0070657B" w:rsidRPr="0070657B" w:rsidRDefault="0070657B" w:rsidP="00D41B55">
            <w:pPr>
              <w:pStyle w:val="QAAnormal"/>
              <w:ind w:right="1134"/>
              <w:rPr>
                <w:rFonts w:cs="Arial"/>
                <w:b/>
                <w:bCs/>
                <w:color w:val="000000" w:themeColor="text1"/>
                <w:sz w:val="24"/>
                <w:szCs w:val="24"/>
              </w:rPr>
            </w:pPr>
            <w:r w:rsidRPr="0070657B">
              <w:rPr>
                <w:rFonts w:cs="Arial"/>
                <w:b/>
                <w:bCs/>
                <w:color w:val="000000" w:themeColor="text1"/>
                <w:sz w:val="24"/>
                <w:szCs w:val="24"/>
              </w:rPr>
              <w:lastRenderedPageBreak/>
              <w:t>Part 1</w:t>
            </w:r>
          </w:p>
        </w:tc>
      </w:tr>
      <w:tr w:rsidR="00645556" w:rsidRPr="00DB3851" w14:paraId="7B56C2E4" w14:textId="77777777" w:rsidTr="0070657B">
        <w:trPr>
          <w:trHeight w:val="1701"/>
        </w:trPr>
        <w:tc>
          <w:tcPr>
            <w:tcW w:w="14312" w:type="dxa"/>
            <w:shd w:val="clear" w:color="auto" w:fill="auto"/>
          </w:tcPr>
          <w:p w14:paraId="346E28A4" w14:textId="17AE5725" w:rsidR="00645556" w:rsidRPr="00B50C81" w:rsidRDefault="00AB3BDF" w:rsidP="00D41B55">
            <w:pPr>
              <w:pStyle w:val="QAAnormal"/>
              <w:ind w:right="460"/>
              <w:rPr>
                <w:rFonts w:cs="Arial"/>
                <w:b/>
                <w:bCs/>
                <w:color w:val="000000" w:themeColor="text1"/>
              </w:rPr>
            </w:pPr>
            <w:r w:rsidRPr="00B50C81">
              <w:rPr>
                <w:rFonts w:cs="Arial"/>
                <w:b/>
                <w:bCs/>
                <w:color w:val="000000" w:themeColor="text1"/>
              </w:rPr>
              <w:t>List</w:t>
            </w:r>
            <w:r w:rsidR="00645556" w:rsidRPr="00B50C81">
              <w:rPr>
                <w:rFonts w:cs="Arial"/>
                <w:b/>
                <w:bCs/>
                <w:color w:val="000000" w:themeColor="text1"/>
              </w:rPr>
              <w:t xml:space="preserve"> the evidence you believe will assist the review team in making a judgement on whether you demonstrate adherence to </w:t>
            </w:r>
            <w:r w:rsidR="00FE6A8C">
              <w:rPr>
                <w:rFonts w:cs="Arial"/>
                <w:b/>
                <w:bCs/>
                <w:color w:val="000000" w:themeColor="text1"/>
              </w:rPr>
              <w:t xml:space="preserve">  </w:t>
            </w:r>
            <w:r w:rsidR="00645556" w:rsidRPr="00B50C81">
              <w:rPr>
                <w:rFonts w:cs="Arial"/>
                <w:b/>
                <w:bCs/>
                <w:color w:val="000000" w:themeColor="text1"/>
              </w:rPr>
              <w:t>Se</w:t>
            </w:r>
            <w:r w:rsidR="00645556" w:rsidRPr="00B50C81">
              <w:rPr>
                <w:b/>
                <w:bCs/>
                <w:color w:val="000000" w:themeColor="text1"/>
              </w:rPr>
              <w:t xml:space="preserve">ctor-Agreed Principle </w:t>
            </w:r>
            <w:r w:rsidR="00C320E9" w:rsidRPr="00B50C81">
              <w:rPr>
                <w:b/>
                <w:bCs/>
                <w:color w:val="000000" w:themeColor="text1"/>
              </w:rPr>
              <w:t>5</w:t>
            </w:r>
            <w:r w:rsidR="00645556" w:rsidRPr="00B50C81">
              <w:rPr>
                <w:rFonts w:cs="Arial"/>
                <w:b/>
                <w:bCs/>
                <w:color w:val="000000" w:themeColor="text1"/>
              </w:rPr>
              <w:t>.</w:t>
            </w:r>
            <w:r w:rsidR="00645556" w:rsidRPr="00B50C81">
              <w:rPr>
                <w:b/>
                <w:bCs/>
                <w:color w:val="000000" w:themeColor="text1"/>
              </w:rPr>
              <w:t xml:space="preserve"> </w:t>
            </w:r>
          </w:p>
          <w:p w14:paraId="0119F413" w14:textId="77777777" w:rsidR="00645556" w:rsidRDefault="00645556" w:rsidP="00D41B55">
            <w:pPr>
              <w:pStyle w:val="QAAnormal"/>
              <w:ind w:right="1134"/>
              <w:rPr>
                <w:rFonts w:cs="Arial"/>
                <w:color w:val="000000" w:themeColor="text1"/>
              </w:rPr>
            </w:pPr>
          </w:p>
          <w:p w14:paraId="74805C03" w14:textId="0C2AF9BE" w:rsidR="00645556" w:rsidRPr="70FB7DD3" w:rsidRDefault="00A91D39" w:rsidP="0070657B">
            <w:pPr>
              <w:pStyle w:val="QAAnormal"/>
              <w:ind w:right="1134"/>
              <w:rPr>
                <w:rFonts w:cs="Arial"/>
                <w:color w:val="000000" w:themeColor="text1"/>
              </w:rPr>
            </w:pPr>
            <w:r>
              <w:rPr>
                <w:i/>
                <w:iCs/>
              </w:rPr>
              <w:t>[Add text]</w:t>
            </w:r>
          </w:p>
        </w:tc>
      </w:tr>
      <w:tr w:rsidR="0070657B" w:rsidRPr="00DB3851" w14:paraId="07DD233F" w14:textId="77777777" w:rsidTr="006711AB">
        <w:trPr>
          <w:trHeight w:val="567"/>
        </w:trPr>
        <w:tc>
          <w:tcPr>
            <w:tcW w:w="14312" w:type="dxa"/>
            <w:shd w:val="clear" w:color="auto" w:fill="C6EAB8"/>
          </w:tcPr>
          <w:p w14:paraId="5DC273B1" w14:textId="74613815" w:rsidR="0070657B" w:rsidRPr="0070657B" w:rsidRDefault="0070657B" w:rsidP="00A91D39">
            <w:pPr>
              <w:pStyle w:val="QAAnormal"/>
              <w:ind w:right="1134"/>
              <w:rPr>
                <w:rFonts w:cs="Arial"/>
                <w:b/>
                <w:bCs/>
                <w:color w:val="000000" w:themeColor="text1"/>
                <w:sz w:val="24"/>
                <w:szCs w:val="24"/>
              </w:rPr>
            </w:pPr>
            <w:r w:rsidRPr="0070657B">
              <w:rPr>
                <w:rFonts w:cs="Arial"/>
                <w:b/>
                <w:bCs/>
                <w:color w:val="000000" w:themeColor="text1"/>
                <w:sz w:val="24"/>
                <w:szCs w:val="24"/>
              </w:rPr>
              <w:t>Part 2</w:t>
            </w:r>
          </w:p>
        </w:tc>
      </w:tr>
      <w:tr w:rsidR="00A91D39" w:rsidRPr="00DB3851" w14:paraId="17CDC763" w14:textId="77777777" w:rsidTr="0070657B">
        <w:trPr>
          <w:trHeight w:val="1839"/>
        </w:trPr>
        <w:tc>
          <w:tcPr>
            <w:tcW w:w="14312" w:type="dxa"/>
            <w:shd w:val="clear" w:color="auto" w:fill="auto"/>
          </w:tcPr>
          <w:p w14:paraId="7A9CB527" w14:textId="2F733089" w:rsidR="00A91D39" w:rsidRPr="00B50C81" w:rsidRDefault="00A91D39" w:rsidP="00DD0ABF">
            <w:pPr>
              <w:pStyle w:val="QAAnormal"/>
              <w:ind w:right="454"/>
              <w:rPr>
                <w:b/>
                <w:bCs/>
              </w:rPr>
            </w:pPr>
            <w:r w:rsidRPr="00B50C81">
              <w:rPr>
                <w:b/>
                <w:bCs/>
              </w:rPr>
              <w:t xml:space="preserve">Highlight which parts of your evidence submission (listed in </w:t>
            </w:r>
            <w:r w:rsidR="00FE6A8C">
              <w:rPr>
                <w:b/>
                <w:bCs/>
              </w:rPr>
              <w:t xml:space="preserve">Part 1 </w:t>
            </w:r>
            <w:r w:rsidRPr="00B50C81">
              <w:rPr>
                <w:b/>
                <w:bCs/>
              </w:rPr>
              <w:t>above) the review team may wish to consider when forming a judgement as to whether you demonstrate adherence to Sector-Agreed Principle 5. Where applicable, include references to specific parts, sections or paragraphs of documents.</w:t>
            </w:r>
          </w:p>
          <w:p w14:paraId="68DE8344" w14:textId="77777777" w:rsidR="00A91D39" w:rsidRPr="00D6558D" w:rsidRDefault="00A91D39" w:rsidP="00A91D39">
            <w:pPr>
              <w:pStyle w:val="QAAnormal"/>
              <w:ind w:right="1134"/>
              <w:rPr>
                <w:rFonts w:cs="Arial"/>
                <w:color w:val="000000" w:themeColor="text1"/>
              </w:rPr>
            </w:pPr>
          </w:p>
          <w:p w14:paraId="3B5EA956" w14:textId="77777777" w:rsidR="00A91D39" w:rsidRDefault="00A91D39" w:rsidP="00A91D39">
            <w:pPr>
              <w:pStyle w:val="QAAnormal"/>
              <w:ind w:right="1134"/>
              <w:rPr>
                <w:i/>
                <w:iCs/>
              </w:rPr>
            </w:pPr>
            <w:r>
              <w:rPr>
                <w:i/>
                <w:iCs/>
              </w:rPr>
              <w:t>[Add text]</w:t>
            </w:r>
          </w:p>
          <w:p w14:paraId="0A81274F" w14:textId="77777777" w:rsidR="00A91D39" w:rsidRDefault="00A91D39" w:rsidP="00D41B55">
            <w:pPr>
              <w:pStyle w:val="QAAnormal"/>
              <w:ind w:right="1134"/>
              <w:rPr>
                <w:rFonts w:cs="Arial"/>
                <w:b/>
                <w:bCs/>
                <w:color w:val="000000" w:themeColor="text1"/>
              </w:rPr>
            </w:pPr>
          </w:p>
        </w:tc>
      </w:tr>
      <w:tr w:rsidR="0070657B" w:rsidRPr="00DB3851" w14:paraId="5062718D" w14:textId="77777777" w:rsidTr="006711AB">
        <w:trPr>
          <w:trHeight w:val="567"/>
        </w:trPr>
        <w:tc>
          <w:tcPr>
            <w:tcW w:w="14312" w:type="dxa"/>
            <w:shd w:val="clear" w:color="auto" w:fill="C6EAB8"/>
          </w:tcPr>
          <w:p w14:paraId="7A775E1D" w14:textId="16FA25B0" w:rsidR="0070657B" w:rsidRPr="0070657B" w:rsidRDefault="0070657B" w:rsidP="00D41B55">
            <w:pPr>
              <w:pStyle w:val="QAAnormal"/>
              <w:ind w:right="1134"/>
              <w:rPr>
                <w:rFonts w:cs="Arial"/>
                <w:b/>
                <w:bCs/>
                <w:color w:val="000000" w:themeColor="text1"/>
                <w:sz w:val="24"/>
                <w:szCs w:val="24"/>
              </w:rPr>
            </w:pPr>
            <w:r w:rsidRPr="0070657B">
              <w:rPr>
                <w:rFonts w:cs="Arial"/>
                <w:b/>
                <w:bCs/>
                <w:color w:val="000000" w:themeColor="text1"/>
                <w:sz w:val="24"/>
                <w:szCs w:val="24"/>
              </w:rPr>
              <w:t>Part 3</w:t>
            </w:r>
          </w:p>
        </w:tc>
      </w:tr>
      <w:tr w:rsidR="009222DB" w:rsidRPr="00DB3851" w14:paraId="73A339A2" w14:textId="77777777" w:rsidTr="0070657B">
        <w:trPr>
          <w:trHeight w:val="1839"/>
        </w:trPr>
        <w:tc>
          <w:tcPr>
            <w:tcW w:w="14312" w:type="dxa"/>
            <w:shd w:val="clear" w:color="auto" w:fill="auto"/>
          </w:tcPr>
          <w:p w14:paraId="7291E66C" w14:textId="77777777" w:rsidR="006253C4" w:rsidRPr="00B50C81" w:rsidRDefault="006253C4" w:rsidP="00D41B55">
            <w:pPr>
              <w:pStyle w:val="QAAnormal"/>
              <w:ind w:right="1134"/>
              <w:rPr>
                <w:b/>
                <w:bCs/>
                <w:color w:val="000000" w:themeColor="text1"/>
              </w:rPr>
            </w:pPr>
            <w:r w:rsidRPr="00B50C81">
              <w:rPr>
                <w:b/>
                <w:bCs/>
                <w:color w:val="000000" w:themeColor="text1"/>
              </w:rPr>
              <w:t>Detail why you consider this evidence demonstrates that you adhere to Sector-Agreed Principle 5.</w:t>
            </w:r>
          </w:p>
          <w:p w14:paraId="0EC8468B" w14:textId="77777777" w:rsidR="00A91D39" w:rsidRDefault="00A91D39" w:rsidP="00D41B55">
            <w:pPr>
              <w:pStyle w:val="QAAnormal"/>
              <w:ind w:right="1134"/>
              <w:rPr>
                <w:color w:val="000000" w:themeColor="text1"/>
              </w:rPr>
            </w:pPr>
          </w:p>
          <w:p w14:paraId="3446EC4F" w14:textId="77777777" w:rsidR="00A91D39" w:rsidRDefault="00A91D39" w:rsidP="00A91D39">
            <w:pPr>
              <w:pStyle w:val="QAAnormal"/>
              <w:ind w:right="1134"/>
              <w:rPr>
                <w:i/>
                <w:iCs/>
              </w:rPr>
            </w:pPr>
            <w:r>
              <w:rPr>
                <w:i/>
                <w:iCs/>
              </w:rPr>
              <w:t>[Add text]</w:t>
            </w:r>
          </w:p>
          <w:p w14:paraId="7B7932EA" w14:textId="4FC1043B" w:rsidR="00A91D39" w:rsidRPr="00D6558D" w:rsidRDefault="00A91D39" w:rsidP="00D41B55">
            <w:pPr>
              <w:pStyle w:val="QAAnormal"/>
              <w:ind w:right="1134"/>
              <w:rPr>
                <w:rFonts w:cs="Arial"/>
                <w:b/>
                <w:bCs/>
                <w:color w:val="000000" w:themeColor="text1"/>
              </w:rPr>
            </w:pPr>
          </w:p>
        </w:tc>
      </w:tr>
    </w:tbl>
    <w:p w14:paraId="17A9E4B0" w14:textId="77777777" w:rsidR="00645556" w:rsidRDefault="00645556" w:rsidP="00645556">
      <w:pPr>
        <w:rPr>
          <w:i/>
          <w:iCs/>
          <w:sz w:val="20"/>
        </w:rPr>
      </w:pPr>
      <w:r w:rsidRPr="4CD64A79">
        <w:rPr>
          <w:i/>
          <w:iCs/>
          <w:sz w:val="20"/>
        </w:rPr>
        <w:t>The table above will expand accordingly - the size of the table in this template is not an indicator as to the amount of detail you may provide.</w:t>
      </w:r>
    </w:p>
    <w:p w14:paraId="32FC96E1" w14:textId="70C01606" w:rsidR="00C45E39" w:rsidRDefault="00C45E39">
      <w:pPr>
        <w:widowControl/>
        <w:spacing w:after="0"/>
        <w:rPr>
          <w:i/>
          <w:iCs/>
          <w:sz w:val="20"/>
        </w:rPr>
      </w:pPr>
      <w:r>
        <w:rPr>
          <w:i/>
          <w:iCs/>
          <w:sz w:val="20"/>
        </w:rP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9D5071" w:rsidRPr="00DB3851" w14:paraId="61D9685E" w14:textId="77777777" w:rsidTr="001D01F2">
        <w:trPr>
          <w:trHeight w:val="555"/>
        </w:trPr>
        <w:tc>
          <w:tcPr>
            <w:tcW w:w="14312" w:type="dxa"/>
            <w:shd w:val="clear" w:color="auto" w:fill="C6EAB8"/>
          </w:tcPr>
          <w:bookmarkEnd w:id="7"/>
          <w:p w14:paraId="08B536FC" w14:textId="0B84F9DB" w:rsidR="009D5071" w:rsidRPr="00B50C81" w:rsidRDefault="009D5071" w:rsidP="00D41B55">
            <w:pPr>
              <w:spacing w:before="60" w:after="120"/>
              <w:rPr>
                <w:b/>
                <w:bCs/>
                <w:sz w:val="24"/>
                <w:szCs w:val="24"/>
              </w:rPr>
            </w:pPr>
            <w:r w:rsidRPr="00B50C81">
              <w:rPr>
                <w:b/>
                <w:bCs/>
                <w:sz w:val="24"/>
                <w:szCs w:val="24"/>
              </w:rPr>
              <w:lastRenderedPageBreak/>
              <w:t xml:space="preserve">Home Office </w:t>
            </w:r>
            <w:r w:rsidR="0070657B" w:rsidRPr="00B50C81">
              <w:rPr>
                <w:b/>
                <w:bCs/>
                <w:sz w:val="24"/>
                <w:szCs w:val="24"/>
              </w:rPr>
              <w:t>R</w:t>
            </w:r>
            <w:r w:rsidRPr="00B50C81">
              <w:rPr>
                <w:b/>
                <w:bCs/>
                <w:sz w:val="24"/>
                <w:szCs w:val="24"/>
              </w:rPr>
              <w:t>equirement 4:</w:t>
            </w:r>
          </w:p>
          <w:p w14:paraId="2B0B0C08" w14:textId="0FF178AC" w:rsidR="009D5071" w:rsidRDefault="009D5071" w:rsidP="00D41B55">
            <w:pPr>
              <w:spacing w:before="60" w:after="120"/>
              <w:rPr>
                <w:b/>
                <w:bCs/>
                <w:color w:val="FFFFFF" w:themeColor="background1"/>
              </w:rPr>
            </w:pPr>
            <w:r w:rsidRPr="008E0E1F">
              <w:t xml:space="preserve">The </w:t>
            </w:r>
            <w:r w:rsidR="00CE5095">
              <w:t>provision of information to students</w:t>
            </w:r>
            <w:r>
              <w:t xml:space="preserve"> by the provider</w:t>
            </w:r>
          </w:p>
        </w:tc>
      </w:tr>
      <w:tr w:rsidR="009D5071" w:rsidRPr="00DB3851" w14:paraId="65FDBC62" w14:textId="77777777" w:rsidTr="003E7ACF">
        <w:trPr>
          <w:trHeight w:val="555"/>
        </w:trPr>
        <w:tc>
          <w:tcPr>
            <w:tcW w:w="14312" w:type="dxa"/>
            <w:shd w:val="clear" w:color="auto" w:fill="D9D9D9"/>
          </w:tcPr>
          <w:p w14:paraId="0C23A218" w14:textId="77777777" w:rsidR="009D5071" w:rsidRPr="00B50C81" w:rsidRDefault="009D5071" w:rsidP="00B50C81">
            <w:pPr>
              <w:spacing w:before="60" w:after="120"/>
              <w:rPr>
                <w:b/>
                <w:bCs/>
                <w:color w:val="000000" w:themeColor="text1"/>
                <w:sz w:val="24"/>
                <w:szCs w:val="24"/>
              </w:rPr>
            </w:pPr>
            <w:r w:rsidRPr="00B50C81">
              <w:rPr>
                <w:b/>
                <w:bCs/>
                <w:color w:val="000000" w:themeColor="text1"/>
                <w:sz w:val="24"/>
                <w:szCs w:val="24"/>
              </w:rPr>
              <w:t xml:space="preserve">Sector-Agreed Principle </w:t>
            </w:r>
            <w:r w:rsidR="00CE5095" w:rsidRPr="00B50C81">
              <w:rPr>
                <w:b/>
                <w:bCs/>
                <w:color w:val="000000" w:themeColor="text1"/>
                <w:sz w:val="24"/>
                <w:szCs w:val="24"/>
              </w:rPr>
              <w:t>9</w:t>
            </w:r>
            <w:r w:rsidR="003E7ACF" w:rsidRPr="00B50C81">
              <w:rPr>
                <w:b/>
                <w:bCs/>
                <w:color w:val="000000" w:themeColor="text1"/>
                <w:sz w:val="24"/>
                <w:szCs w:val="24"/>
              </w:rPr>
              <w:t>:</w:t>
            </w:r>
            <w:r w:rsidRPr="00B50C81">
              <w:rPr>
                <w:b/>
                <w:bCs/>
                <w:color w:val="000000" w:themeColor="text1"/>
                <w:sz w:val="24"/>
                <w:szCs w:val="24"/>
              </w:rPr>
              <w:t xml:space="preserve"> </w:t>
            </w:r>
            <w:r w:rsidR="00D54057" w:rsidRPr="00B50C81">
              <w:rPr>
                <w:b/>
                <w:bCs/>
                <w:color w:val="000000" w:themeColor="text1"/>
                <w:sz w:val="24"/>
                <w:szCs w:val="24"/>
              </w:rPr>
              <w:t>Recruiting</w:t>
            </w:r>
            <w:r w:rsidRPr="00B50C81">
              <w:rPr>
                <w:b/>
                <w:bCs/>
                <w:color w:val="000000" w:themeColor="text1"/>
                <w:sz w:val="24"/>
                <w:szCs w:val="24"/>
              </w:rPr>
              <w:t xml:space="preserve">, </w:t>
            </w:r>
            <w:proofErr w:type="gramStart"/>
            <w:r w:rsidR="00CF5A39" w:rsidRPr="00B50C81">
              <w:rPr>
                <w:b/>
                <w:bCs/>
                <w:color w:val="000000" w:themeColor="text1"/>
                <w:sz w:val="24"/>
                <w:szCs w:val="24"/>
              </w:rPr>
              <w:t>s</w:t>
            </w:r>
            <w:r w:rsidRPr="00B50C81">
              <w:rPr>
                <w:b/>
                <w:bCs/>
                <w:color w:val="000000" w:themeColor="text1"/>
                <w:sz w:val="24"/>
                <w:szCs w:val="24"/>
              </w:rPr>
              <w:t>el</w:t>
            </w:r>
            <w:r w:rsidR="00CF5A39" w:rsidRPr="00B50C81">
              <w:rPr>
                <w:b/>
                <w:bCs/>
                <w:color w:val="000000" w:themeColor="text1"/>
                <w:sz w:val="24"/>
                <w:szCs w:val="24"/>
              </w:rPr>
              <w:t>ec</w:t>
            </w:r>
            <w:r w:rsidRPr="00B50C81">
              <w:rPr>
                <w:b/>
                <w:bCs/>
                <w:color w:val="000000" w:themeColor="text1"/>
                <w:sz w:val="24"/>
                <w:szCs w:val="24"/>
              </w:rPr>
              <w:t>ting</w:t>
            </w:r>
            <w:proofErr w:type="gramEnd"/>
            <w:r w:rsidRPr="00B50C81">
              <w:rPr>
                <w:b/>
                <w:bCs/>
                <w:color w:val="000000" w:themeColor="text1"/>
                <w:sz w:val="24"/>
                <w:szCs w:val="24"/>
              </w:rPr>
              <w:t xml:space="preserve"> and </w:t>
            </w:r>
            <w:r w:rsidR="00CF5A39" w:rsidRPr="00B50C81">
              <w:rPr>
                <w:b/>
                <w:bCs/>
                <w:color w:val="000000" w:themeColor="text1"/>
                <w:sz w:val="24"/>
                <w:szCs w:val="24"/>
              </w:rPr>
              <w:t xml:space="preserve">admitting </w:t>
            </w:r>
            <w:r w:rsidR="000F33B4" w:rsidRPr="00B50C81">
              <w:rPr>
                <w:b/>
                <w:bCs/>
                <w:color w:val="000000" w:themeColor="text1"/>
                <w:sz w:val="24"/>
                <w:szCs w:val="24"/>
              </w:rPr>
              <w:t>students</w:t>
            </w:r>
          </w:p>
          <w:p w14:paraId="619864BE" w14:textId="25EA6198" w:rsidR="003E7ACF" w:rsidRPr="003E7ACF" w:rsidRDefault="003E7ACF" w:rsidP="00D41B55">
            <w:pPr>
              <w:spacing w:before="60" w:after="60"/>
              <w:rPr>
                <w:b/>
                <w:bCs/>
                <w:color w:val="000000" w:themeColor="text1"/>
              </w:rPr>
            </w:pPr>
            <w:r w:rsidRPr="001D01F2">
              <w:rPr>
                <w:i/>
                <w:iCs/>
                <w:szCs w:val="22"/>
              </w:rPr>
              <w:t xml:space="preserve">Providers operate recruitment, selection and admissions processes that are transparent, </w:t>
            </w:r>
            <w:proofErr w:type="gramStart"/>
            <w:r w:rsidRPr="001D01F2">
              <w:rPr>
                <w:i/>
                <w:iCs/>
                <w:szCs w:val="22"/>
              </w:rPr>
              <w:t>fair</w:t>
            </w:r>
            <w:proofErr w:type="gramEnd"/>
            <w:r w:rsidRPr="001D01F2">
              <w:rPr>
                <w:i/>
                <w:iCs/>
                <w:szCs w:val="22"/>
              </w:rPr>
              <w:t xml:space="preserve"> and inclusive. Providers maintain and publish accurate, </w:t>
            </w:r>
            <w:proofErr w:type="gramStart"/>
            <w:r w:rsidRPr="001D01F2">
              <w:rPr>
                <w:i/>
                <w:iCs/>
                <w:szCs w:val="22"/>
              </w:rPr>
              <w:t>relevant</w:t>
            </w:r>
            <w:proofErr w:type="gramEnd"/>
            <w:r w:rsidRPr="001D01F2">
              <w:rPr>
                <w:i/>
                <w:iCs/>
                <w:szCs w:val="22"/>
              </w:rPr>
              <w:t xml:space="preserve"> and accessible information about their provision, enabling students to make informed choices about their studies and future aspirations.</w:t>
            </w:r>
          </w:p>
          <w:p w14:paraId="6C85D9B4" w14:textId="793A8D41" w:rsidR="003E7ACF" w:rsidRPr="003E7ACF" w:rsidRDefault="003E7ACF" w:rsidP="00D41B55">
            <w:pPr>
              <w:spacing w:before="60" w:after="60"/>
              <w:rPr>
                <w:rFonts w:eastAsia="Arial"/>
                <w:b/>
                <w:color w:val="000000" w:themeColor="text1"/>
                <w:szCs w:val="22"/>
              </w:rPr>
            </w:pPr>
          </w:p>
        </w:tc>
      </w:tr>
      <w:tr w:rsidR="009D5071" w:rsidRPr="00DB3851" w14:paraId="44C8F00E" w14:textId="77777777" w:rsidTr="001D01F2">
        <w:trPr>
          <w:trHeight w:val="1839"/>
        </w:trPr>
        <w:tc>
          <w:tcPr>
            <w:tcW w:w="14312" w:type="dxa"/>
            <w:shd w:val="clear" w:color="auto" w:fill="auto"/>
          </w:tcPr>
          <w:p w14:paraId="6360E34B" w14:textId="77777777" w:rsidR="009D5071" w:rsidRDefault="009D5071" w:rsidP="00D41B55">
            <w:pPr>
              <w:pStyle w:val="Header"/>
              <w:spacing w:before="60" w:after="60"/>
              <w:rPr>
                <w:b/>
                <w:bCs/>
                <w:color w:val="000000" w:themeColor="text1"/>
                <w:szCs w:val="22"/>
              </w:rPr>
            </w:pPr>
            <w:r w:rsidRPr="00FB5D34">
              <w:rPr>
                <w:b/>
                <w:bCs/>
                <w:color w:val="000000" w:themeColor="text1"/>
                <w:szCs w:val="22"/>
              </w:rPr>
              <w:t>Key Practices</w:t>
            </w:r>
          </w:p>
          <w:p w14:paraId="3BB6D277" w14:textId="77777777" w:rsidR="003E7ACF" w:rsidRDefault="003E7ACF" w:rsidP="003E7ACF">
            <w:pPr>
              <w:pStyle w:val="Header"/>
              <w:spacing w:before="60" w:after="0"/>
              <w:rPr>
                <w:b/>
                <w:bCs/>
                <w:color w:val="000000" w:themeColor="text1"/>
                <w:szCs w:val="22"/>
              </w:rPr>
            </w:pPr>
          </w:p>
          <w:p w14:paraId="6E9D2F22" w14:textId="77777777" w:rsidR="00D21C28" w:rsidRPr="00D6558D" w:rsidRDefault="00D21C28" w:rsidP="00645AE2">
            <w:pPr>
              <w:pStyle w:val="BulletedList"/>
              <w:numPr>
                <w:ilvl w:val="0"/>
                <w:numId w:val="21"/>
              </w:numPr>
              <w:ind w:left="567" w:hanging="567"/>
            </w:pPr>
            <w:r w:rsidRPr="00D6558D">
              <w:t xml:space="preserve">Policies and procedures for application, recruitment, </w:t>
            </w:r>
            <w:proofErr w:type="gramStart"/>
            <w:r w:rsidRPr="00D6558D">
              <w:t>selection</w:t>
            </w:r>
            <w:proofErr w:type="gramEnd"/>
            <w:r w:rsidRPr="00D6558D">
              <w:t xml:space="preserve"> and admission to programmes are reliable, fair, transparent and accessible, including processes for the recognition of prior learning. Similar and proportionate arrangements are in place for modules and other units of study.</w:t>
            </w:r>
          </w:p>
          <w:p w14:paraId="1F261AEC" w14:textId="77777777" w:rsidR="00D21C28" w:rsidRPr="00D6558D" w:rsidRDefault="00D21C28" w:rsidP="00D6558D">
            <w:pPr>
              <w:pStyle w:val="BulletedList"/>
            </w:pPr>
            <w:r w:rsidRPr="00D6558D">
              <w:t>Providers offer information that supports prospective students, and their advisors for recruitment and widening access purposes, in making informed decisions. Providers meet their legal and regulatory obligations in relation to the information presented about themselves and their provision or any changes they make to programmes and modules.</w:t>
            </w:r>
          </w:p>
          <w:p w14:paraId="13E3950C" w14:textId="77777777" w:rsidR="00D21C28" w:rsidRPr="00D6558D" w:rsidRDefault="00D21C28" w:rsidP="00D6558D">
            <w:pPr>
              <w:pStyle w:val="BulletedList"/>
            </w:pPr>
            <w:r w:rsidRPr="00D6558D">
              <w:t>Staff, student representatives and external partners engaged in the delivery of recruitment, selection, admissions and widening access processes are appropriately trained and resourced.</w:t>
            </w:r>
          </w:p>
          <w:p w14:paraId="5DEA6718" w14:textId="77777777" w:rsidR="009D5071" w:rsidRDefault="00D21C28" w:rsidP="00D6558D">
            <w:pPr>
              <w:pStyle w:val="BulletedList"/>
            </w:pPr>
            <w:r w:rsidRPr="00D6558D">
              <w:t>All teams involved in the application, selection and</w:t>
            </w:r>
            <w:r w:rsidR="008D00BF" w:rsidRPr="00D6558D">
              <w:t xml:space="preserve"> admissions processes ensure information about the applicant journey is consistent and clear. Specific elements of the selection process are clearly defined and any programme or module changes that can impact decision making are communicated swiftly and consistently to enable all parties to exercise informed choice.</w:t>
            </w:r>
          </w:p>
          <w:p w14:paraId="2E3BBCDB" w14:textId="22A75A40" w:rsidR="002D1482" w:rsidRPr="00D21C28" w:rsidRDefault="002D1482" w:rsidP="002D1482">
            <w:pPr>
              <w:pStyle w:val="BulletedList"/>
              <w:numPr>
                <w:ilvl w:val="0"/>
                <w:numId w:val="0"/>
              </w:numPr>
              <w:ind w:left="567"/>
            </w:pPr>
          </w:p>
        </w:tc>
      </w:tr>
      <w:tr w:rsidR="002D1482" w:rsidRPr="00DB3851" w14:paraId="02D151DD" w14:textId="77777777" w:rsidTr="002D1482">
        <w:trPr>
          <w:trHeight w:val="567"/>
        </w:trPr>
        <w:tc>
          <w:tcPr>
            <w:tcW w:w="14312" w:type="dxa"/>
            <w:shd w:val="clear" w:color="auto" w:fill="C6EAB8"/>
          </w:tcPr>
          <w:p w14:paraId="1C8A5AFD" w14:textId="487933BC" w:rsidR="002D1482" w:rsidRPr="006711AB" w:rsidRDefault="002D1482" w:rsidP="00FD5AFE">
            <w:pPr>
              <w:pStyle w:val="QAAnormal"/>
              <w:ind w:right="1134"/>
              <w:rPr>
                <w:rFonts w:cs="Arial"/>
                <w:b/>
                <w:bCs/>
                <w:color w:val="000000" w:themeColor="text1"/>
                <w:sz w:val="24"/>
                <w:szCs w:val="24"/>
              </w:rPr>
            </w:pPr>
            <w:r w:rsidRPr="006711AB">
              <w:rPr>
                <w:rFonts w:cs="Arial"/>
                <w:b/>
                <w:bCs/>
                <w:color w:val="000000" w:themeColor="text1"/>
                <w:sz w:val="24"/>
                <w:szCs w:val="24"/>
              </w:rPr>
              <w:t>Part 1</w:t>
            </w:r>
          </w:p>
        </w:tc>
      </w:tr>
      <w:tr w:rsidR="009D5071" w:rsidRPr="00DB3851" w14:paraId="6DDE2FFE" w14:textId="77777777" w:rsidTr="002D1482">
        <w:trPr>
          <w:trHeight w:val="1839"/>
        </w:trPr>
        <w:tc>
          <w:tcPr>
            <w:tcW w:w="14312" w:type="dxa"/>
            <w:shd w:val="clear" w:color="auto" w:fill="auto"/>
          </w:tcPr>
          <w:p w14:paraId="126A90AE" w14:textId="1E8C4ACE" w:rsidR="009D5071" w:rsidRPr="00B50C81" w:rsidRDefault="00AB3BDF" w:rsidP="00D41B55">
            <w:pPr>
              <w:pStyle w:val="QAAnormal"/>
              <w:ind w:right="460"/>
              <w:rPr>
                <w:rFonts w:cs="Arial"/>
                <w:b/>
                <w:bCs/>
                <w:color w:val="000000" w:themeColor="text1"/>
              </w:rPr>
            </w:pPr>
            <w:r w:rsidRPr="00B50C81">
              <w:rPr>
                <w:rFonts w:cs="Arial"/>
                <w:b/>
                <w:bCs/>
                <w:color w:val="000000" w:themeColor="text1"/>
              </w:rPr>
              <w:t>List</w:t>
            </w:r>
            <w:r w:rsidR="009D5071" w:rsidRPr="00B50C81">
              <w:rPr>
                <w:rFonts w:cs="Arial"/>
                <w:b/>
                <w:bCs/>
                <w:color w:val="000000" w:themeColor="text1"/>
              </w:rPr>
              <w:t xml:space="preserve"> the evidence you believe will assist the review team in making a judgement on whether you demonstrate adherence to </w:t>
            </w:r>
            <w:r w:rsidR="00960553">
              <w:rPr>
                <w:rFonts w:cs="Arial"/>
                <w:b/>
                <w:bCs/>
                <w:color w:val="000000" w:themeColor="text1"/>
              </w:rPr>
              <w:t xml:space="preserve"> </w:t>
            </w:r>
            <w:r w:rsidR="009D5071" w:rsidRPr="00B50C81">
              <w:rPr>
                <w:rFonts w:cs="Arial"/>
                <w:b/>
                <w:bCs/>
                <w:color w:val="000000" w:themeColor="text1"/>
              </w:rPr>
              <w:t>Se</w:t>
            </w:r>
            <w:r w:rsidR="009D5071" w:rsidRPr="00B50C81">
              <w:rPr>
                <w:b/>
                <w:bCs/>
                <w:color w:val="000000" w:themeColor="text1"/>
              </w:rPr>
              <w:t xml:space="preserve">ctor-Agreed Principle </w:t>
            </w:r>
            <w:r w:rsidR="000F33B4" w:rsidRPr="00B50C81">
              <w:rPr>
                <w:b/>
                <w:bCs/>
                <w:color w:val="000000" w:themeColor="text1"/>
              </w:rPr>
              <w:t>9</w:t>
            </w:r>
            <w:r w:rsidR="009D5071" w:rsidRPr="00B50C81">
              <w:rPr>
                <w:rFonts w:cs="Arial"/>
                <w:b/>
                <w:bCs/>
                <w:color w:val="000000" w:themeColor="text1"/>
              </w:rPr>
              <w:t>.</w:t>
            </w:r>
            <w:r w:rsidR="009D5071" w:rsidRPr="00B50C81">
              <w:rPr>
                <w:b/>
                <w:bCs/>
                <w:color w:val="000000" w:themeColor="text1"/>
              </w:rPr>
              <w:t xml:space="preserve"> </w:t>
            </w:r>
          </w:p>
          <w:p w14:paraId="1D3D0CCC" w14:textId="77777777" w:rsidR="009D5071" w:rsidRDefault="009D5071" w:rsidP="00D41B55">
            <w:pPr>
              <w:pStyle w:val="QAAnormal"/>
              <w:ind w:right="1134"/>
              <w:rPr>
                <w:rFonts w:cs="Arial"/>
                <w:color w:val="000000" w:themeColor="text1"/>
              </w:rPr>
            </w:pPr>
          </w:p>
          <w:p w14:paraId="257DBD63" w14:textId="77777777" w:rsidR="00A91D39" w:rsidRDefault="00A91D39" w:rsidP="00A91D39">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3BF62B0C" w14:textId="13CAC535" w:rsidR="00F9367B" w:rsidRPr="00D6558D" w:rsidRDefault="00F9367B" w:rsidP="00D41B55">
            <w:pPr>
              <w:pStyle w:val="QAAnormal"/>
              <w:ind w:right="1134"/>
              <w:rPr>
                <w:rFonts w:cs="Arial"/>
                <w:color w:val="000000" w:themeColor="text1"/>
              </w:rPr>
            </w:pPr>
          </w:p>
        </w:tc>
      </w:tr>
      <w:tr w:rsidR="002D1482" w:rsidRPr="00DB3851" w14:paraId="2EEB432C" w14:textId="77777777" w:rsidTr="002D1482">
        <w:trPr>
          <w:trHeight w:val="567"/>
        </w:trPr>
        <w:tc>
          <w:tcPr>
            <w:tcW w:w="14312" w:type="dxa"/>
            <w:shd w:val="clear" w:color="auto" w:fill="C6EAB8"/>
          </w:tcPr>
          <w:p w14:paraId="2C03F56E" w14:textId="07394D15" w:rsidR="002D1482" w:rsidRPr="002D1482" w:rsidRDefault="002D1482" w:rsidP="00A91D39">
            <w:pPr>
              <w:pStyle w:val="QAAnormal"/>
              <w:ind w:right="1134"/>
              <w:rPr>
                <w:rFonts w:cs="Arial"/>
                <w:b/>
                <w:bCs/>
                <w:color w:val="000000" w:themeColor="text1"/>
                <w:sz w:val="24"/>
                <w:szCs w:val="24"/>
              </w:rPr>
            </w:pPr>
            <w:r w:rsidRPr="002D1482">
              <w:rPr>
                <w:rFonts w:cs="Arial"/>
                <w:b/>
                <w:bCs/>
                <w:color w:val="000000" w:themeColor="text1"/>
                <w:sz w:val="24"/>
                <w:szCs w:val="24"/>
              </w:rPr>
              <w:lastRenderedPageBreak/>
              <w:t>Part 2</w:t>
            </w:r>
          </w:p>
        </w:tc>
      </w:tr>
      <w:tr w:rsidR="00A91D39" w:rsidRPr="00DB3851" w14:paraId="2E6B9664" w14:textId="77777777" w:rsidTr="002D1482">
        <w:trPr>
          <w:trHeight w:val="1839"/>
        </w:trPr>
        <w:tc>
          <w:tcPr>
            <w:tcW w:w="14312" w:type="dxa"/>
            <w:shd w:val="clear" w:color="auto" w:fill="auto"/>
          </w:tcPr>
          <w:p w14:paraId="6BB7C1CF" w14:textId="519CD40D" w:rsidR="00A91D39" w:rsidRPr="00B50C81" w:rsidRDefault="00A91D39" w:rsidP="00DD0ABF">
            <w:pPr>
              <w:pStyle w:val="QAAnormal"/>
              <w:ind w:right="454"/>
              <w:rPr>
                <w:b/>
                <w:bCs/>
              </w:rPr>
            </w:pPr>
            <w:r w:rsidRPr="00B50C81">
              <w:rPr>
                <w:b/>
                <w:bCs/>
              </w:rPr>
              <w:t>Highlight which parts of your evidence submission (listed in</w:t>
            </w:r>
            <w:r w:rsidR="00960553">
              <w:rPr>
                <w:b/>
                <w:bCs/>
              </w:rPr>
              <w:t xml:space="preserve"> Part 1</w:t>
            </w:r>
            <w:r w:rsidRPr="00B50C81">
              <w:rPr>
                <w:b/>
                <w:bCs/>
              </w:rPr>
              <w:t xml:space="preserve"> above) the review team may wish to consider when forming a judgement as to whether you demonstrate adherence to Sector-Agreed Principle 9. Where applicable, include references to specific parts, sections or paragraphs of documents.</w:t>
            </w:r>
          </w:p>
          <w:p w14:paraId="3C84F338" w14:textId="77777777" w:rsidR="00A91D39" w:rsidRDefault="00A91D39" w:rsidP="00A91D39">
            <w:pPr>
              <w:pStyle w:val="QAAnormal"/>
              <w:ind w:right="1134"/>
            </w:pPr>
          </w:p>
          <w:p w14:paraId="53738AF4" w14:textId="77777777" w:rsidR="00A91D39" w:rsidRDefault="00A91D39" w:rsidP="00A91D39">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4FBD5B7C" w14:textId="2AD7BC9B" w:rsidR="00A91D39" w:rsidRPr="00C96FB2" w:rsidRDefault="00A91D39" w:rsidP="00A91D39">
            <w:pPr>
              <w:pStyle w:val="QAAnormal"/>
              <w:ind w:right="1134"/>
              <w:rPr>
                <w:rFonts w:cs="Arial"/>
                <w:b/>
                <w:bCs/>
                <w:color w:val="000000" w:themeColor="text1"/>
              </w:rPr>
            </w:pPr>
          </w:p>
        </w:tc>
      </w:tr>
      <w:tr w:rsidR="002D1482" w:rsidRPr="00DB3851" w14:paraId="3AF9A5F0" w14:textId="77777777" w:rsidTr="002D1482">
        <w:trPr>
          <w:trHeight w:val="567"/>
        </w:trPr>
        <w:tc>
          <w:tcPr>
            <w:tcW w:w="14312" w:type="dxa"/>
            <w:shd w:val="clear" w:color="auto" w:fill="C6EAB8"/>
          </w:tcPr>
          <w:p w14:paraId="797FE824" w14:textId="56A7A743" w:rsidR="002D1482" w:rsidRPr="002D1482" w:rsidRDefault="002D1482" w:rsidP="00F9367B">
            <w:pPr>
              <w:pStyle w:val="QAAnormal"/>
              <w:ind w:right="1134"/>
              <w:rPr>
                <w:rFonts w:cs="Arial"/>
                <w:b/>
                <w:bCs/>
                <w:color w:val="000000" w:themeColor="text1"/>
                <w:sz w:val="24"/>
                <w:szCs w:val="24"/>
              </w:rPr>
            </w:pPr>
            <w:r w:rsidRPr="002D1482">
              <w:rPr>
                <w:rFonts w:cs="Arial"/>
                <w:b/>
                <w:bCs/>
                <w:color w:val="000000" w:themeColor="text1"/>
                <w:sz w:val="24"/>
                <w:szCs w:val="24"/>
              </w:rPr>
              <w:t>Part 3</w:t>
            </w:r>
          </w:p>
        </w:tc>
      </w:tr>
      <w:tr w:rsidR="00F9367B" w:rsidRPr="00DB3851" w14:paraId="1DB1FF7C" w14:textId="77777777" w:rsidTr="002D1482">
        <w:trPr>
          <w:trHeight w:val="1839"/>
        </w:trPr>
        <w:tc>
          <w:tcPr>
            <w:tcW w:w="14312" w:type="dxa"/>
            <w:shd w:val="clear" w:color="auto" w:fill="auto"/>
          </w:tcPr>
          <w:p w14:paraId="044BD081" w14:textId="77777777" w:rsidR="00F9367B" w:rsidRPr="00B50C81" w:rsidRDefault="00F9367B" w:rsidP="00FD5AFE">
            <w:pPr>
              <w:pStyle w:val="QAAnormal"/>
              <w:ind w:right="1134"/>
              <w:rPr>
                <w:b/>
                <w:bCs/>
                <w:color w:val="000000" w:themeColor="text1"/>
              </w:rPr>
            </w:pPr>
            <w:r w:rsidRPr="00B50C81">
              <w:rPr>
                <w:b/>
                <w:bCs/>
                <w:color w:val="000000" w:themeColor="text1"/>
              </w:rPr>
              <w:t>Detail why you consider this evidence demonstrates that you adhere to Sector-Agreed Principle 9.</w:t>
            </w:r>
          </w:p>
          <w:p w14:paraId="3E8498F8" w14:textId="77777777" w:rsidR="00A91D39" w:rsidRDefault="00A91D39" w:rsidP="00FD5AFE">
            <w:pPr>
              <w:pStyle w:val="QAAnormal"/>
              <w:ind w:right="1134"/>
              <w:rPr>
                <w:color w:val="000000" w:themeColor="text1"/>
              </w:rPr>
            </w:pPr>
          </w:p>
          <w:p w14:paraId="7FED3124" w14:textId="77777777" w:rsidR="00A91D39" w:rsidRDefault="00A91D39" w:rsidP="00A91D39">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3E0695EA" w14:textId="384AD52D" w:rsidR="00A91D39" w:rsidRPr="00D6558D" w:rsidRDefault="00A91D39" w:rsidP="00FD5AFE">
            <w:pPr>
              <w:pStyle w:val="QAAnormal"/>
              <w:ind w:right="1134"/>
              <w:rPr>
                <w:rFonts w:cs="Arial"/>
                <w:b/>
                <w:bCs/>
                <w:color w:val="000000" w:themeColor="text1"/>
              </w:rPr>
            </w:pPr>
          </w:p>
        </w:tc>
      </w:tr>
    </w:tbl>
    <w:p w14:paraId="0DB988A1" w14:textId="77777777" w:rsidR="009D5071" w:rsidRDefault="009D5071" w:rsidP="009D5071">
      <w:pPr>
        <w:rPr>
          <w:i/>
          <w:iCs/>
          <w:sz w:val="20"/>
        </w:rPr>
      </w:pPr>
      <w:r w:rsidRPr="4CD64A79">
        <w:rPr>
          <w:i/>
          <w:iCs/>
          <w:sz w:val="20"/>
        </w:rPr>
        <w:t>The table above will expand accordingly - the size of the table in this template is not an indicator as to the amount of detail you may provide.</w:t>
      </w:r>
    </w:p>
    <w:p w14:paraId="39068C2D" w14:textId="651472B2" w:rsidR="00F9367B" w:rsidRDefault="00F9367B">
      <w:pPr>
        <w:widowControl/>
        <w:spacing w:after="0"/>
      </w:pPr>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2E4060" w:rsidRPr="00DB3851" w14:paraId="5D866C25" w14:textId="77777777" w:rsidTr="007B5C6A">
        <w:trPr>
          <w:trHeight w:val="555"/>
        </w:trPr>
        <w:tc>
          <w:tcPr>
            <w:tcW w:w="14312" w:type="dxa"/>
            <w:shd w:val="clear" w:color="auto" w:fill="C6EAB8"/>
          </w:tcPr>
          <w:p w14:paraId="4B3C62A7" w14:textId="1F562516" w:rsidR="002E4060" w:rsidRPr="00B50C81" w:rsidRDefault="002E4060" w:rsidP="00D41B55">
            <w:pPr>
              <w:spacing w:before="60" w:after="120"/>
              <w:rPr>
                <w:b/>
                <w:bCs/>
                <w:sz w:val="24"/>
                <w:szCs w:val="24"/>
              </w:rPr>
            </w:pPr>
            <w:bookmarkStart w:id="8" w:name="_Hlk174117335"/>
            <w:r w:rsidRPr="00B50C81">
              <w:rPr>
                <w:b/>
                <w:bCs/>
                <w:sz w:val="24"/>
                <w:szCs w:val="24"/>
              </w:rPr>
              <w:lastRenderedPageBreak/>
              <w:t xml:space="preserve">Home Office </w:t>
            </w:r>
            <w:r w:rsidR="007B5C6A" w:rsidRPr="00B50C81">
              <w:rPr>
                <w:b/>
                <w:bCs/>
                <w:sz w:val="24"/>
                <w:szCs w:val="24"/>
              </w:rPr>
              <w:t>R</w:t>
            </w:r>
            <w:r w:rsidRPr="00B50C81">
              <w:rPr>
                <w:b/>
                <w:bCs/>
                <w:sz w:val="24"/>
                <w:szCs w:val="24"/>
              </w:rPr>
              <w:t>equirement 4:</w:t>
            </w:r>
          </w:p>
          <w:p w14:paraId="66A1855F" w14:textId="77777777" w:rsidR="002E4060" w:rsidRDefault="002E4060" w:rsidP="00D41B55">
            <w:pPr>
              <w:spacing w:before="60" w:after="120"/>
              <w:rPr>
                <w:b/>
                <w:bCs/>
                <w:color w:val="FFFFFF" w:themeColor="background1"/>
              </w:rPr>
            </w:pPr>
            <w:r w:rsidRPr="008E0E1F">
              <w:t xml:space="preserve">The </w:t>
            </w:r>
            <w:r>
              <w:t>provision of information to students by the provider</w:t>
            </w:r>
          </w:p>
        </w:tc>
      </w:tr>
      <w:tr w:rsidR="002E4060" w:rsidRPr="00DB3851" w14:paraId="6E699D8A" w14:textId="77777777" w:rsidTr="003E7ACF">
        <w:trPr>
          <w:trHeight w:val="555"/>
        </w:trPr>
        <w:tc>
          <w:tcPr>
            <w:tcW w:w="14312" w:type="dxa"/>
            <w:shd w:val="clear" w:color="auto" w:fill="D9D9D9"/>
          </w:tcPr>
          <w:p w14:paraId="14816A72" w14:textId="77777777" w:rsidR="002E4060" w:rsidRPr="00B50C81" w:rsidRDefault="002E4060" w:rsidP="00B50C81">
            <w:pPr>
              <w:spacing w:before="60" w:after="120"/>
              <w:rPr>
                <w:b/>
                <w:bCs/>
                <w:color w:val="000000" w:themeColor="text1"/>
                <w:sz w:val="24"/>
                <w:szCs w:val="24"/>
              </w:rPr>
            </w:pPr>
            <w:r w:rsidRPr="00B50C81">
              <w:rPr>
                <w:b/>
                <w:bCs/>
                <w:color w:val="000000" w:themeColor="text1"/>
                <w:sz w:val="24"/>
                <w:szCs w:val="24"/>
              </w:rPr>
              <w:t xml:space="preserve">Sector-Agreed Principle </w:t>
            </w:r>
            <w:r w:rsidR="006F0D64" w:rsidRPr="00B50C81">
              <w:rPr>
                <w:b/>
                <w:bCs/>
                <w:color w:val="000000" w:themeColor="text1"/>
                <w:sz w:val="24"/>
                <w:szCs w:val="24"/>
              </w:rPr>
              <w:t>10</w:t>
            </w:r>
            <w:r w:rsidR="003E7ACF" w:rsidRPr="00B50C81">
              <w:rPr>
                <w:b/>
                <w:bCs/>
                <w:color w:val="000000" w:themeColor="text1"/>
                <w:sz w:val="24"/>
                <w:szCs w:val="24"/>
              </w:rPr>
              <w:t>:</w:t>
            </w:r>
            <w:r w:rsidRPr="00B50C81">
              <w:rPr>
                <w:b/>
                <w:bCs/>
                <w:color w:val="000000" w:themeColor="text1"/>
                <w:sz w:val="24"/>
                <w:szCs w:val="24"/>
              </w:rPr>
              <w:t xml:space="preserve"> </w:t>
            </w:r>
            <w:r w:rsidR="006F0D64" w:rsidRPr="00B50C81">
              <w:rPr>
                <w:b/>
                <w:bCs/>
                <w:color w:val="000000" w:themeColor="text1"/>
                <w:sz w:val="24"/>
                <w:szCs w:val="24"/>
              </w:rPr>
              <w:t>Support</w:t>
            </w:r>
            <w:r w:rsidRPr="00B50C81">
              <w:rPr>
                <w:b/>
                <w:bCs/>
                <w:color w:val="000000" w:themeColor="text1"/>
                <w:sz w:val="24"/>
                <w:szCs w:val="24"/>
              </w:rPr>
              <w:t>ing students</w:t>
            </w:r>
            <w:r w:rsidR="005178E0" w:rsidRPr="00B50C81">
              <w:rPr>
                <w:b/>
                <w:bCs/>
                <w:color w:val="000000" w:themeColor="text1"/>
                <w:sz w:val="24"/>
                <w:szCs w:val="24"/>
              </w:rPr>
              <w:t xml:space="preserve"> to achieve their potential</w:t>
            </w:r>
          </w:p>
          <w:p w14:paraId="40A49001" w14:textId="77777777" w:rsidR="003E7ACF" w:rsidRDefault="003E7ACF" w:rsidP="003E7ACF">
            <w:pPr>
              <w:spacing w:before="60" w:after="60"/>
              <w:rPr>
                <w:i/>
                <w:iCs/>
                <w:szCs w:val="22"/>
              </w:rPr>
            </w:pPr>
            <w:r w:rsidRPr="001D01F2">
              <w:rPr>
                <w:i/>
                <w:iCs/>
                <w:szCs w:val="22"/>
              </w:rPr>
              <w:t xml:space="preserve">Providers facilitate a framework of support for students that enables them to have a high-quality learning experience and achieve their potential as they progress in their studies. The support structure scaffolds the academic, </w:t>
            </w:r>
            <w:proofErr w:type="gramStart"/>
            <w:r w:rsidRPr="001D01F2">
              <w:rPr>
                <w:i/>
                <w:iCs/>
                <w:szCs w:val="22"/>
              </w:rPr>
              <w:t>personal</w:t>
            </w:r>
            <w:proofErr w:type="gramEnd"/>
            <w:r w:rsidRPr="001D01F2">
              <w:rPr>
                <w:i/>
                <w:iCs/>
                <w:szCs w:val="22"/>
              </w:rPr>
              <w:t xml:space="preserve"> and professional learning journey, enabling students to recognise and articulate their progress and achievements</w:t>
            </w:r>
            <w:r>
              <w:rPr>
                <w:i/>
                <w:iCs/>
                <w:szCs w:val="22"/>
              </w:rPr>
              <w:t>.</w:t>
            </w:r>
          </w:p>
          <w:p w14:paraId="08EFB118" w14:textId="3FC3BA45" w:rsidR="00B50C81" w:rsidRPr="00DB3851" w:rsidRDefault="00B50C81" w:rsidP="003E7ACF">
            <w:pPr>
              <w:spacing w:before="60" w:after="60"/>
              <w:rPr>
                <w:rFonts w:eastAsia="Arial"/>
                <w:b/>
                <w:color w:val="FFFFFF" w:themeColor="background1"/>
                <w:szCs w:val="22"/>
              </w:rPr>
            </w:pPr>
          </w:p>
        </w:tc>
      </w:tr>
      <w:tr w:rsidR="002E4060" w:rsidRPr="00DB3851" w14:paraId="4D245D25" w14:textId="77777777" w:rsidTr="007B5C6A">
        <w:trPr>
          <w:trHeight w:val="1839"/>
        </w:trPr>
        <w:tc>
          <w:tcPr>
            <w:tcW w:w="14312" w:type="dxa"/>
            <w:shd w:val="clear" w:color="auto" w:fill="auto"/>
          </w:tcPr>
          <w:p w14:paraId="596C7556" w14:textId="77777777" w:rsidR="002E4060" w:rsidRDefault="002E4060" w:rsidP="00D41B55">
            <w:pPr>
              <w:pStyle w:val="Header"/>
              <w:spacing w:before="60" w:after="60"/>
              <w:rPr>
                <w:b/>
                <w:bCs/>
                <w:color w:val="000000" w:themeColor="text1"/>
                <w:szCs w:val="22"/>
              </w:rPr>
            </w:pPr>
            <w:r w:rsidRPr="00FB5D34">
              <w:rPr>
                <w:b/>
                <w:bCs/>
                <w:color w:val="000000" w:themeColor="text1"/>
                <w:szCs w:val="22"/>
              </w:rPr>
              <w:t>Key Practices</w:t>
            </w:r>
          </w:p>
          <w:p w14:paraId="60B87368" w14:textId="77777777" w:rsidR="007B5C6A" w:rsidRDefault="007B5C6A" w:rsidP="007B5C6A">
            <w:pPr>
              <w:pStyle w:val="Header"/>
              <w:spacing w:before="60" w:after="0"/>
              <w:rPr>
                <w:b/>
                <w:bCs/>
                <w:color w:val="000000" w:themeColor="text1"/>
                <w:szCs w:val="22"/>
              </w:rPr>
            </w:pPr>
          </w:p>
          <w:p w14:paraId="05B75F38" w14:textId="77777777" w:rsidR="005A198F" w:rsidRPr="00D6558D" w:rsidRDefault="005A198F" w:rsidP="00645AE2">
            <w:pPr>
              <w:pStyle w:val="BulletedList"/>
              <w:numPr>
                <w:ilvl w:val="0"/>
                <w:numId w:val="22"/>
              </w:numPr>
              <w:ind w:left="567" w:hanging="567"/>
            </w:pPr>
            <w:r w:rsidRPr="00D6558D">
              <w:t>Accessible, relevant, accurate and timely information is offered to students and the staff supporting them throughout the learning journey about the provider, programme of study, wider opportunities for development and availability of support services. </w:t>
            </w:r>
          </w:p>
          <w:p w14:paraId="66CC968C" w14:textId="77777777" w:rsidR="005A198F" w:rsidRPr="00D6558D" w:rsidRDefault="005A198F" w:rsidP="00D6558D">
            <w:pPr>
              <w:pStyle w:val="BulletedList"/>
            </w:pPr>
            <w:r w:rsidRPr="00D6558D">
              <w:t xml:space="preserve">All students are supported at key transition points throughout their journey, with their specific needs and requirements met and their </w:t>
            </w:r>
            <w:proofErr w:type="gramStart"/>
            <w:r w:rsidRPr="00D6558D">
              <w:t>particular pathways</w:t>
            </w:r>
            <w:proofErr w:type="gramEnd"/>
            <w:r w:rsidRPr="00D6558D">
              <w:t xml:space="preserve"> into learning recognised.</w:t>
            </w:r>
          </w:p>
          <w:p w14:paraId="51B86355" w14:textId="087FE1F3" w:rsidR="005A198F" w:rsidRPr="00D6558D" w:rsidRDefault="005A198F" w:rsidP="00D6558D">
            <w:pPr>
              <w:pStyle w:val="BulletedList"/>
            </w:pPr>
            <w:r w:rsidRPr="00D6558D">
              <w:t>Students</w:t>
            </w:r>
            <w:r w:rsidR="0019333F">
              <w:t xml:space="preserve"> and</w:t>
            </w:r>
            <w:r w:rsidRPr="00D6558D">
              <w:t xml:space="preserve"> staff are aware of the ongoing academic, </w:t>
            </w:r>
            <w:proofErr w:type="gramStart"/>
            <w:r w:rsidRPr="00D6558D">
              <w:t>professional</w:t>
            </w:r>
            <w:proofErr w:type="gramEnd"/>
            <w:r w:rsidRPr="00D6558D">
              <w:t xml:space="preserve"> and pastoral services and activities available, and students are encouraged to access these opportunities throughout their learning journey. </w:t>
            </w:r>
          </w:p>
          <w:p w14:paraId="29C791FE" w14:textId="77777777" w:rsidR="005A198F" w:rsidRPr="00D6558D" w:rsidRDefault="005A198F" w:rsidP="00D6558D">
            <w:pPr>
              <w:pStyle w:val="BulletedList"/>
            </w:pPr>
            <w:r w:rsidRPr="00D6558D">
              <w:t xml:space="preserve">Staff are appropriately qualified, trained and supported to deliver high-quality learning and support for all students, particularly those with specific needs and requirements. </w:t>
            </w:r>
          </w:p>
          <w:p w14:paraId="66332EBB" w14:textId="77777777" w:rsidR="002E4060" w:rsidRDefault="005A198F" w:rsidP="00D6558D">
            <w:pPr>
              <w:pStyle w:val="BulletedList"/>
            </w:pPr>
            <w:r w:rsidRPr="00D6558D">
              <w:t>Students and staff recognise that activities offered outside the formal curriculum are beneficial for promoting students</w:t>
            </w:r>
            <w:r w:rsidR="001E4F5C">
              <w:t>'</w:t>
            </w:r>
            <w:r w:rsidRPr="00D6558D">
              <w:t xml:space="preserve"> sense of belonging, as well as providing opportunities for students to broaden their skills and achievements, complementing their formal studies.</w:t>
            </w:r>
          </w:p>
          <w:p w14:paraId="1B6D5A0D" w14:textId="77A260AE" w:rsidR="002D1482" w:rsidRPr="00D21C28" w:rsidRDefault="002D1482" w:rsidP="002D1482">
            <w:pPr>
              <w:pStyle w:val="BulletedList"/>
              <w:numPr>
                <w:ilvl w:val="0"/>
                <w:numId w:val="0"/>
              </w:numPr>
              <w:ind w:left="567"/>
            </w:pPr>
          </w:p>
        </w:tc>
      </w:tr>
      <w:tr w:rsidR="002D1482" w:rsidRPr="00DB3851" w14:paraId="2C22C233" w14:textId="77777777" w:rsidTr="007B5C6A">
        <w:trPr>
          <w:trHeight w:val="567"/>
        </w:trPr>
        <w:tc>
          <w:tcPr>
            <w:tcW w:w="14312" w:type="dxa"/>
            <w:shd w:val="clear" w:color="auto" w:fill="C6EAB8"/>
          </w:tcPr>
          <w:p w14:paraId="69BA5383" w14:textId="0F989CD9" w:rsidR="002D1482" w:rsidRPr="007B5C6A" w:rsidRDefault="002D1482" w:rsidP="000209F8">
            <w:pPr>
              <w:pStyle w:val="QAAnormal"/>
              <w:ind w:right="1134"/>
              <w:rPr>
                <w:rFonts w:cs="Arial"/>
                <w:b/>
                <w:bCs/>
                <w:color w:val="000000" w:themeColor="text1"/>
                <w:sz w:val="24"/>
                <w:szCs w:val="24"/>
              </w:rPr>
            </w:pPr>
            <w:r w:rsidRPr="007B5C6A">
              <w:rPr>
                <w:rFonts w:cs="Arial"/>
                <w:b/>
                <w:bCs/>
                <w:color w:val="000000" w:themeColor="text1"/>
                <w:sz w:val="24"/>
                <w:szCs w:val="24"/>
              </w:rPr>
              <w:t>Part 1</w:t>
            </w:r>
          </w:p>
        </w:tc>
      </w:tr>
      <w:tr w:rsidR="002E4060" w:rsidRPr="00DB3851" w14:paraId="64F25378" w14:textId="77777777" w:rsidTr="007B5C6A">
        <w:trPr>
          <w:trHeight w:val="1839"/>
        </w:trPr>
        <w:tc>
          <w:tcPr>
            <w:tcW w:w="14312" w:type="dxa"/>
            <w:shd w:val="clear" w:color="auto" w:fill="auto"/>
          </w:tcPr>
          <w:p w14:paraId="77AFC0B3" w14:textId="2D0BD7FB" w:rsidR="002E4060" w:rsidRPr="00B50C81" w:rsidRDefault="00AB3BDF" w:rsidP="00D41B55">
            <w:pPr>
              <w:pStyle w:val="QAAnormal"/>
              <w:ind w:right="460"/>
              <w:rPr>
                <w:rFonts w:cs="Arial"/>
                <w:b/>
                <w:bCs/>
                <w:color w:val="000000" w:themeColor="text1"/>
              </w:rPr>
            </w:pPr>
            <w:r w:rsidRPr="00B50C81">
              <w:rPr>
                <w:rFonts w:cs="Arial"/>
                <w:b/>
                <w:bCs/>
                <w:color w:val="000000" w:themeColor="text1"/>
              </w:rPr>
              <w:t>List</w:t>
            </w:r>
            <w:r w:rsidR="002E4060" w:rsidRPr="00B50C81">
              <w:rPr>
                <w:rFonts w:cs="Arial"/>
                <w:b/>
                <w:bCs/>
                <w:color w:val="000000" w:themeColor="text1"/>
              </w:rPr>
              <w:t xml:space="preserve"> the evidence you believe will assist the review team in making a judgement on whether you demonstrate adherence to </w:t>
            </w:r>
            <w:r w:rsidR="009A3AE7">
              <w:rPr>
                <w:rFonts w:cs="Arial"/>
                <w:b/>
                <w:bCs/>
                <w:color w:val="000000" w:themeColor="text1"/>
              </w:rPr>
              <w:t xml:space="preserve"> </w:t>
            </w:r>
            <w:r w:rsidR="002E4060" w:rsidRPr="00B50C81">
              <w:rPr>
                <w:rFonts w:cs="Arial"/>
                <w:b/>
                <w:bCs/>
                <w:color w:val="000000" w:themeColor="text1"/>
              </w:rPr>
              <w:t>Se</w:t>
            </w:r>
            <w:r w:rsidR="002E4060" w:rsidRPr="00B50C81">
              <w:rPr>
                <w:b/>
                <w:bCs/>
                <w:color w:val="000000" w:themeColor="text1"/>
              </w:rPr>
              <w:t>ctor-Agreed Principle</w:t>
            </w:r>
            <w:r w:rsidR="009A3AE7">
              <w:rPr>
                <w:b/>
                <w:bCs/>
                <w:color w:val="000000" w:themeColor="text1"/>
              </w:rPr>
              <w:t xml:space="preserve"> </w:t>
            </w:r>
            <w:r w:rsidR="00A95EF8" w:rsidRPr="00B50C81">
              <w:rPr>
                <w:b/>
                <w:bCs/>
                <w:color w:val="000000" w:themeColor="text1"/>
              </w:rPr>
              <w:t>10</w:t>
            </w:r>
            <w:r w:rsidR="002E4060" w:rsidRPr="00B50C81">
              <w:rPr>
                <w:rFonts w:cs="Arial"/>
                <w:b/>
                <w:bCs/>
                <w:color w:val="000000" w:themeColor="text1"/>
              </w:rPr>
              <w:t>.</w:t>
            </w:r>
            <w:r w:rsidR="002E4060" w:rsidRPr="00B50C81">
              <w:rPr>
                <w:b/>
                <w:bCs/>
                <w:color w:val="000000" w:themeColor="text1"/>
              </w:rPr>
              <w:t xml:space="preserve"> </w:t>
            </w:r>
          </w:p>
          <w:p w14:paraId="2C8079FB" w14:textId="77777777" w:rsidR="002E4060" w:rsidRDefault="002E4060" w:rsidP="00D41B55">
            <w:pPr>
              <w:pStyle w:val="QAAnormal"/>
              <w:ind w:right="1134"/>
              <w:rPr>
                <w:rFonts w:cs="Arial"/>
                <w:color w:val="000000" w:themeColor="text1"/>
              </w:rPr>
            </w:pPr>
          </w:p>
          <w:p w14:paraId="5FFABA7B" w14:textId="77777777" w:rsidR="00A91D39" w:rsidRDefault="00A91D39" w:rsidP="00A91D39">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484131E5" w14:textId="77777777" w:rsidR="002E4060" w:rsidRDefault="002E4060" w:rsidP="00D41B55">
            <w:pPr>
              <w:pStyle w:val="QAAnormal"/>
              <w:ind w:right="1134"/>
              <w:rPr>
                <w:rFonts w:cs="Arial"/>
                <w:color w:val="000000" w:themeColor="text1"/>
              </w:rPr>
            </w:pPr>
          </w:p>
          <w:p w14:paraId="0823EAC6" w14:textId="166D9AC2" w:rsidR="000209F8" w:rsidRPr="00D6558D" w:rsidRDefault="000209F8" w:rsidP="00D41B55">
            <w:pPr>
              <w:pStyle w:val="QAAnormal"/>
              <w:ind w:right="1134"/>
              <w:rPr>
                <w:rFonts w:cs="Arial"/>
                <w:color w:val="000000" w:themeColor="text1"/>
              </w:rPr>
            </w:pPr>
          </w:p>
        </w:tc>
      </w:tr>
    </w:tbl>
    <w:p w14:paraId="23943504" w14:textId="77777777" w:rsidR="007B5C6A" w:rsidRDefault="007B5C6A">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2D1482" w:rsidRPr="00DB3851" w14:paraId="72DEE9A5" w14:textId="77777777" w:rsidTr="007B5C6A">
        <w:trPr>
          <w:trHeight w:val="567"/>
        </w:trPr>
        <w:tc>
          <w:tcPr>
            <w:tcW w:w="14312" w:type="dxa"/>
            <w:shd w:val="clear" w:color="auto" w:fill="C6EAB8"/>
          </w:tcPr>
          <w:p w14:paraId="56115B0D" w14:textId="19BA8530" w:rsidR="002D1482" w:rsidRPr="007B5C6A" w:rsidRDefault="002D1482" w:rsidP="00A91D39">
            <w:pPr>
              <w:pStyle w:val="QAAnormal"/>
              <w:ind w:right="1134"/>
              <w:rPr>
                <w:rFonts w:cs="Arial"/>
                <w:b/>
                <w:bCs/>
                <w:color w:val="000000" w:themeColor="text1"/>
                <w:sz w:val="24"/>
                <w:szCs w:val="24"/>
              </w:rPr>
            </w:pPr>
            <w:r w:rsidRPr="007B5C6A">
              <w:rPr>
                <w:rFonts w:cs="Arial"/>
                <w:b/>
                <w:bCs/>
                <w:color w:val="000000" w:themeColor="text1"/>
                <w:sz w:val="24"/>
                <w:szCs w:val="24"/>
              </w:rPr>
              <w:lastRenderedPageBreak/>
              <w:t>Part 2</w:t>
            </w:r>
          </w:p>
        </w:tc>
      </w:tr>
      <w:tr w:rsidR="00A91D39" w:rsidRPr="00DB3851" w14:paraId="6C5A6B79" w14:textId="77777777" w:rsidTr="007B5C6A">
        <w:trPr>
          <w:trHeight w:val="1839"/>
        </w:trPr>
        <w:tc>
          <w:tcPr>
            <w:tcW w:w="14312" w:type="dxa"/>
            <w:shd w:val="clear" w:color="auto" w:fill="auto"/>
          </w:tcPr>
          <w:p w14:paraId="46875350" w14:textId="7F757D73" w:rsidR="00A91D39" w:rsidRPr="00B50C81" w:rsidRDefault="00A91D39" w:rsidP="00DD0ABF">
            <w:pPr>
              <w:pStyle w:val="QAAnormal"/>
              <w:ind w:right="454"/>
              <w:rPr>
                <w:b/>
                <w:bCs/>
              </w:rPr>
            </w:pPr>
            <w:r w:rsidRPr="00B50C81">
              <w:rPr>
                <w:b/>
                <w:bCs/>
              </w:rPr>
              <w:t xml:space="preserve">Highlight which parts of your evidence submission (listed in </w:t>
            </w:r>
            <w:r w:rsidR="00661876">
              <w:rPr>
                <w:b/>
                <w:bCs/>
              </w:rPr>
              <w:t>Part 1</w:t>
            </w:r>
            <w:r w:rsidRPr="00B50C81">
              <w:rPr>
                <w:b/>
                <w:bCs/>
              </w:rPr>
              <w:t xml:space="preserve"> above) the review team may wish to consider when forming a judgement as to whether you demonstrate adherence to Sector-Agreed Principle 10. Where applicable, include references to specific parts, sections or paragraphs of documents.</w:t>
            </w:r>
          </w:p>
          <w:p w14:paraId="58553A87" w14:textId="77777777" w:rsidR="00A91D39" w:rsidRDefault="00A91D39" w:rsidP="00A91D39">
            <w:pPr>
              <w:pStyle w:val="QAAnormal"/>
              <w:ind w:right="1134"/>
            </w:pPr>
          </w:p>
          <w:p w14:paraId="58B33DE2" w14:textId="77777777" w:rsidR="00A91D39" w:rsidRDefault="00A91D39" w:rsidP="00A91D39">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5361DCA4" w14:textId="05085F26" w:rsidR="00A91D39" w:rsidRPr="00C96FB2" w:rsidRDefault="00A91D39" w:rsidP="00A91D39">
            <w:pPr>
              <w:pStyle w:val="QAAnormal"/>
              <w:ind w:right="1134"/>
              <w:rPr>
                <w:rFonts w:cs="Arial"/>
                <w:b/>
                <w:bCs/>
                <w:color w:val="000000" w:themeColor="text1"/>
              </w:rPr>
            </w:pPr>
          </w:p>
        </w:tc>
      </w:tr>
      <w:tr w:rsidR="002D1482" w:rsidRPr="00DB3851" w14:paraId="7C341F3B" w14:textId="77777777" w:rsidTr="007B5C6A">
        <w:trPr>
          <w:trHeight w:val="567"/>
        </w:trPr>
        <w:tc>
          <w:tcPr>
            <w:tcW w:w="14312" w:type="dxa"/>
            <w:shd w:val="clear" w:color="auto" w:fill="C6EAB8"/>
          </w:tcPr>
          <w:p w14:paraId="257E5FF6" w14:textId="3BBE1BAE" w:rsidR="002D1482" w:rsidRPr="007B5C6A" w:rsidRDefault="002D1482" w:rsidP="003123D1">
            <w:pPr>
              <w:pStyle w:val="QAAnormal"/>
              <w:ind w:right="1134"/>
              <w:rPr>
                <w:rFonts w:cs="Arial"/>
                <w:b/>
                <w:bCs/>
                <w:color w:val="000000" w:themeColor="text1"/>
                <w:sz w:val="24"/>
                <w:szCs w:val="24"/>
              </w:rPr>
            </w:pPr>
            <w:r w:rsidRPr="007B5C6A">
              <w:rPr>
                <w:rFonts w:cs="Arial"/>
                <w:b/>
                <w:bCs/>
                <w:color w:val="000000" w:themeColor="text1"/>
                <w:sz w:val="24"/>
                <w:szCs w:val="24"/>
              </w:rPr>
              <w:t>Part 3</w:t>
            </w:r>
          </w:p>
        </w:tc>
      </w:tr>
      <w:tr w:rsidR="003123D1" w:rsidRPr="00DB3851" w14:paraId="666BD524" w14:textId="77777777" w:rsidTr="007B5C6A">
        <w:trPr>
          <w:trHeight w:val="1839"/>
        </w:trPr>
        <w:tc>
          <w:tcPr>
            <w:tcW w:w="14312" w:type="dxa"/>
            <w:shd w:val="clear" w:color="auto" w:fill="auto"/>
          </w:tcPr>
          <w:p w14:paraId="4A35E3BC" w14:textId="77777777" w:rsidR="003123D1" w:rsidRPr="00B50C81" w:rsidRDefault="003123D1" w:rsidP="000209F8">
            <w:pPr>
              <w:pStyle w:val="QAAnormal"/>
              <w:ind w:right="1134"/>
              <w:rPr>
                <w:b/>
                <w:bCs/>
                <w:color w:val="000000" w:themeColor="text1"/>
              </w:rPr>
            </w:pPr>
            <w:r w:rsidRPr="00B50C81">
              <w:rPr>
                <w:b/>
                <w:bCs/>
                <w:color w:val="000000" w:themeColor="text1"/>
              </w:rPr>
              <w:t>Detail why you consider this evidence demonstrates that you adhere to Sector-Agreed Principle 10.</w:t>
            </w:r>
          </w:p>
          <w:p w14:paraId="797E7C7D" w14:textId="77777777" w:rsidR="00A91D39" w:rsidRDefault="00A91D39" w:rsidP="000209F8">
            <w:pPr>
              <w:pStyle w:val="QAAnormal"/>
              <w:ind w:right="1134"/>
              <w:rPr>
                <w:color w:val="000000" w:themeColor="text1"/>
              </w:rPr>
            </w:pPr>
          </w:p>
          <w:p w14:paraId="047AB6FB" w14:textId="77777777" w:rsidR="00A91D39" w:rsidRDefault="00A91D39" w:rsidP="00A91D39">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4F03F8C7" w14:textId="71B9AF37" w:rsidR="00A91D39" w:rsidRPr="00D6558D" w:rsidRDefault="00A91D39" w:rsidP="000209F8">
            <w:pPr>
              <w:pStyle w:val="QAAnormal"/>
              <w:ind w:right="1134"/>
              <w:rPr>
                <w:rFonts w:cs="Arial"/>
                <w:b/>
                <w:bCs/>
                <w:color w:val="000000" w:themeColor="text1"/>
              </w:rPr>
            </w:pPr>
          </w:p>
        </w:tc>
      </w:tr>
    </w:tbl>
    <w:p w14:paraId="2EC40922" w14:textId="77777777" w:rsidR="002E4060" w:rsidRDefault="002E4060" w:rsidP="002E4060">
      <w:pPr>
        <w:rPr>
          <w:i/>
          <w:iCs/>
          <w:sz w:val="20"/>
        </w:rPr>
      </w:pPr>
      <w:r w:rsidRPr="4CD64A79">
        <w:rPr>
          <w:i/>
          <w:iCs/>
          <w:sz w:val="20"/>
        </w:rPr>
        <w:t>The table above will expand accordingly - the size of the table in this template is not an indicator as to the amount of detail you may provide.</w:t>
      </w:r>
    </w:p>
    <w:bookmarkEnd w:id="8"/>
    <w:p w14:paraId="5CC7ED4D" w14:textId="77777777" w:rsidR="00C47E44" w:rsidRDefault="00C47E44">
      <w:pPr>
        <w:widowControl/>
        <w:spacing w:after="0"/>
      </w:pPr>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C47E44" w:rsidRPr="00DB3851" w14:paraId="215556C1" w14:textId="77777777" w:rsidTr="002D1482">
        <w:trPr>
          <w:trHeight w:val="555"/>
        </w:trPr>
        <w:tc>
          <w:tcPr>
            <w:tcW w:w="14312" w:type="dxa"/>
            <w:shd w:val="clear" w:color="auto" w:fill="C6EAB8"/>
          </w:tcPr>
          <w:p w14:paraId="00721730" w14:textId="1E39E41E" w:rsidR="00C47E44" w:rsidRPr="00B50C81" w:rsidRDefault="00C47E44" w:rsidP="00D41B55">
            <w:pPr>
              <w:spacing w:before="60" w:after="120"/>
              <w:rPr>
                <w:b/>
                <w:bCs/>
                <w:sz w:val="24"/>
                <w:szCs w:val="24"/>
              </w:rPr>
            </w:pPr>
            <w:bookmarkStart w:id="9" w:name="_Hlk174347995"/>
            <w:r w:rsidRPr="00B50C81">
              <w:rPr>
                <w:b/>
                <w:bCs/>
                <w:sz w:val="24"/>
                <w:szCs w:val="24"/>
              </w:rPr>
              <w:lastRenderedPageBreak/>
              <w:t xml:space="preserve">Home Office </w:t>
            </w:r>
            <w:r w:rsidR="002D1482" w:rsidRPr="00B50C81">
              <w:rPr>
                <w:b/>
                <w:bCs/>
                <w:sz w:val="24"/>
                <w:szCs w:val="24"/>
              </w:rPr>
              <w:t>R</w:t>
            </w:r>
            <w:r w:rsidRPr="00B50C81">
              <w:rPr>
                <w:b/>
                <w:bCs/>
                <w:sz w:val="24"/>
                <w:szCs w:val="24"/>
              </w:rPr>
              <w:t>equirement 4:</w:t>
            </w:r>
          </w:p>
          <w:p w14:paraId="33F03606" w14:textId="77777777" w:rsidR="00C47E44" w:rsidRDefault="00C47E44" w:rsidP="00D41B55">
            <w:pPr>
              <w:spacing w:before="60" w:after="120"/>
              <w:rPr>
                <w:b/>
                <w:bCs/>
                <w:color w:val="FFFFFF" w:themeColor="background1"/>
              </w:rPr>
            </w:pPr>
            <w:r w:rsidRPr="008E0E1F">
              <w:t xml:space="preserve">The </w:t>
            </w:r>
            <w:r>
              <w:t>provision of information to students by the provider</w:t>
            </w:r>
          </w:p>
        </w:tc>
      </w:tr>
      <w:tr w:rsidR="00C47E44" w:rsidRPr="00DB3851" w14:paraId="000B2C8F" w14:textId="77777777" w:rsidTr="003E7ACF">
        <w:trPr>
          <w:trHeight w:val="555"/>
        </w:trPr>
        <w:tc>
          <w:tcPr>
            <w:tcW w:w="14312" w:type="dxa"/>
            <w:shd w:val="clear" w:color="auto" w:fill="D9D9D9"/>
          </w:tcPr>
          <w:p w14:paraId="7B654AF7" w14:textId="7A1CB6D3" w:rsidR="00C47E44" w:rsidRPr="00B50C81" w:rsidRDefault="00C47E44" w:rsidP="00B50C81">
            <w:pPr>
              <w:spacing w:before="60" w:after="120"/>
              <w:rPr>
                <w:b/>
                <w:bCs/>
                <w:color w:val="000000" w:themeColor="text1"/>
                <w:sz w:val="24"/>
                <w:szCs w:val="24"/>
              </w:rPr>
            </w:pPr>
            <w:r w:rsidRPr="00B50C81">
              <w:rPr>
                <w:b/>
                <w:bCs/>
                <w:color w:val="000000" w:themeColor="text1"/>
                <w:sz w:val="24"/>
                <w:szCs w:val="24"/>
              </w:rPr>
              <w:t>Sector-Agreed Principle 12</w:t>
            </w:r>
            <w:r w:rsidR="003E7ACF" w:rsidRPr="00B50C81">
              <w:rPr>
                <w:b/>
                <w:bCs/>
                <w:color w:val="000000" w:themeColor="text1"/>
                <w:sz w:val="24"/>
                <w:szCs w:val="24"/>
              </w:rPr>
              <w:t>:</w:t>
            </w:r>
            <w:r w:rsidRPr="00B50C81">
              <w:rPr>
                <w:b/>
                <w:bCs/>
                <w:color w:val="000000" w:themeColor="text1"/>
                <w:sz w:val="24"/>
                <w:szCs w:val="24"/>
              </w:rPr>
              <w:t xml:space="preserve"> Operating concerns</w:t>
            </w:r>
            <w:r w:rsidR="0021023E" w:rsidRPr="00B50C81">
              <w:rPr>
                <w:b/>
                <w:bCs/>
                <w:color w:val="000000" w:themeColor="text1"/>
                <w:sz w:val="24"/>
                <w:szCs w:val="24"/>
              </w:rPr>
              <w:t xml:space="preserve">, </w:t>
            </w:r>
            <w:proofErr w:type="gramStart"/>
            <w:r w:rsidR="0021023E" w:rsidRPr="00B50C81">
              <w:rPr>
                <w:b/>
                <w:bCs/>
                <w:color w:val="000000" w:themeColor="text1"/>
                <w:sz w:val="24"/>
                <w:szCs w:val="24"/>
              </w:rPr>
              <w:t>complaints</w:t>
            </w:r>
            <w:proofErr w:type="gramEnd"/>
            <w:r w:rsidR="0021023E" w:rsidRPr="00B50C81">
              <w:rPr>
                <w:b/>
                <w:bCs/>
                <w:color w:val="000000" w:themeColor="text1"/>
                <w:sz w:val="24"/>
                <w:szCs w:val="24"/>
              </w:rPr>
              <w:t xml:space="preserve"> and appeals processes</w:t>
            </w:r>
          </w:p>
          <w:p w14:paraId="5130E061" w14:textId="2E5F9D27" w:rsidR="003E7ACF" w:rsidRDefault="003E7ACF" w:rsidP="00D41B55">
            <w:pPr>
              <w:spacing w:before="60" w:after="60"/>
              <w:rPr>
                <w:b/>
                <w:bCs/>
                <w:color w:val="000000" w:themeColor="text1"/>
              </w:rPr>
            </w:pPr>
            <w:r w:rsidRPr="0092326F">
              <w:rPr>
                <w:i/>
                <w:iCs/>
                <w:szCs w:val="22"/>
              </w:rPr>
              <w:t xml:space="preserve">Providers operate processes for complaints and appeals that are robust, fair, </w:t>
            </w:r>
            <w:proofErr w:type="gramStart"/>
            <w:r w:rsidRPr="0092326F">
              <w:rPr>
                <w:i/>
                <w:iCs/>
                <w:szCs w:val="22"/>
              </w:rPr>
              <w:t>transparent</w:t>
            </w:r>
            <w:proofErr w:type="gramEnd"/>
            <w:r w:rsidRPr="0092326F">
              <w:rPr>
                <w:i/>
                <w:iCs/>
                <w:szCs w:val="22"/>
              </w:rPr>
              <w:t xml:space="preserve"> and accessible, and clearly articulated to staff and students. Policies and processes for concerns, complaints and appeals are regularly reviewed and the outcomes are used to support the enhancement of provision and the student experience.</w:t>
            </w:r>
          </w:p>
          <w:p w14:paraId="61EDEF88" w14:textId="4FC15803" w:rsidR="003E7ACF" w:rsidRPr="00DB3851" w:rsidRDefault="003E7ACF" w:rsidP="00D41B55">
            <w:pPr>
              <w:spacing w:before="60" w:after="60"/>
              <w:rPr>
                <w:rFonts w:eastAsia="Arial"/>
                <w:b/>
                <w:color w:val="FFFFFF" w:themeColor="background1"/>
                <w:szCs w:val="22"/>
              </w:rPr>
            </w:pPr>
          </w:p>
        </w:tc>
      </w:tr>
      <w:tr w:rsidR="00C47E44" w:rsidRPr="00DB3851" w14:paraId="4B85D685" w14:textId="77777777" w:rsidTr="002D1482">
        <w:trPr>
          <w:trHeight w:val="1839"/>
        </w:trPr>
        <w:tc>
          <w:tcPr>
            <w:tcW w:w="14312" w:type="dxa"/>
            <w:shd w:val="clear" w:color="auto" w:fill="auto"/>
          </w:tcPr>
          <w:p w14:paraId="6A644D8A" w14:textId="77777777" w:rsidR="00C47E44" w:rsidRDefault="00C47E44" w:rsidP="00D41B55">
            <w:pPr>
              <w:pStyle w:val="Header"/>
              <w:spacing w:before="60" w:after="60"/>
              <w:rPr>
                <w:b/>
                <w:bCs/>
                <w:color w:val="000000" w:themeColor="text1"/>
                <w:szCs w:val="22"/>
              </w:rPr>
            </w:pPr>
            <w:r w:rsidRPr="00FB5D34">
              <w:rPr>
                <w:b/>
                <w:bCs/>
                <w:color w:val="000000" w:themeColor="text1"/>
                <w:szCs w:val="22"/>
              </w:rPr>
              <w:t>Key Practices</w:t>
            </w:r>
          </w:p>
          <w:p w14:paraId="1D9AA38F" w14:textId="77777777" w:rsidR="002D1482" w:rsidRDefault="002D1482" w:rsidP="002D1482">
            <w:pPr>
              <w:pStyle w:val="Header"/>
              <w:spacing w:before="60" w:after="0"/>
              <w:rPr>
                <w:b/>
                <w:bCs/>
                <w:color w:val="000000" w:themeColor="text1"/>
                <w:szCs w:val="22"/>
              </w:rPr>
            </w:pPr>
          </w:p>
          <w:p w14:paraId="29854AC6" w14:textId="77777777" w:rsidR="004B4733" w:rsidRPr="00D6558D" w:rsidRDefault="004B4733" w:rsidP="00645AE2">
            <w:pPr>
              <w:pStyle w:val="BulletedList"/>
              <w:numPr>
                <w:ilvl w:val="0"/>
                <w:numId w:val="23"/>
              </w:numPr>
              <w:ind w:left="567" w:hanging="567"/>
            </w:pPr>
            <w:r w:rsidRPr="00D6558D">
              <w:t xml:space="preserve">Policies and processes for concerns, complaints and appeals are accessible, </w:t>
            </w:r>
            <w:proofErr w:type="gramStart"/>
            <w:r w:rsidRPr="00D6558D">
              <w:t>robust</w:t>
            </w:r>
            <w:proofErr w:type="gramEnd"/>
            <w:r w:rsidRPr="00D6558D">
              <w:t xml:space="preserve"> and inclusive, and enable early resolution wherever possible and include information relating to recruitment, selection and admission.</w:t>
            </w:r>
          </w:p>
          <w:p w14:paraId="4D89D410" w14:textId="77777777" w:rsidR="002F55F2" w:rsidRPr="00D6558D" w:rsidRDefault="004B4733" w:rsidP="00D6558D">
            <w:pPr>
              <w:pStyle w:val="BulletedList"/>
            </w:pPr>
            <w:r w:rsidRPr="00D6558D">
              <w:t>Concerns, complaints and appeals policies and procedures, including information about them, are clear and transparent to</w:t>
            </w:r>
            <w:r w:rsidR="002F55F2" w:rsidRPr="00D6558D">
              <w:t xml:space="preserve"> students, those advising them and those implementing the processes. Formal and informal stages of the processes are clearly articulated.</w:t>
            </w:r>
          </w:p>
          <w:p w14:paraId="3B994A2C" w14:textId="77777777" w:rsidR="002F55F2" w:rsidRPr="00D6558D" w:rsidRDefault="002F55F2" w:rsidP="00D6558D">
            <w:pPr>
              <w:pStyle w:val="BulletedList"/>
            </w:pPr>
            <w:r w:rsidRPr="00D6558D">
              <w:t>Providers meet (where applicable) the national and international requirements of external bodies with responsibility for hearing or overseeing concerns and complaints.</w:t>
            </w:r>
          </w:p>
          <w:p w14:paraId="02BF4418" w14:textId="77777777" w:rsidR="002F55F2" w:rsidRPr="00D6558D" w:rsidRDefault="002F55F2" w:rsidP="00D6558D">
            <w:pPr>
              <w:pStyle w:val="BulletedList"/>
            </w:pPr>
            <w:r w:rsidRPr="00D6558D">
              <w:t>Actions resulting from concerns, complaints and appeals are proportionate and enable cases to be resolved as early as possible.</w:t>
            </w:r>
          </w:p>
          <w:p w14:paraId="7EA3F27B" w14:textId="77777777" w:rsidR="002F55F2" w:rsidRPr="00D6558D" w:rsidRDefault="002F55F2" w:rsidP="00D6558D">
            <w:pPr>
              <w:pStyle w:val="BulletedList"/>
            </w:pPr>
            <w:r w:rsidRPr="00D6558D">
              <w:t>Processes for concerns, complaints and appeals are monitored and reviewed to ensure they promote enhancement throughout the provider and operate as intended, to the benefit of students and staff.</w:t>
            </w:r>
          </w:p>
          <w:p w14:paraId="2C6FABD2" w14:textId="77777777" w:rsidR="00C47E44" w:rsidRDefault="00A77A22" w:rsidP="00D6558D">
            <w:pPr>
              <w:pStyle w:val="BulletedList"/>
            </w:pPr>
            <w:r w:rsidRPr="00D6558D">
              <w:t>Outcomes from concerns, complaints and appeals are used to develop and enhance the teaching and learning and wider student experience.</w:t>
            </w:r>
          </w:p>
          <w:p w14:paraId="6296BAB6" w14:textId="29752C40" w:rsidR="005D50A0" w:rsidRPr="004B4733" w:rsidRDefault="005D50A0" w:rsidP="002D1482">
            <w:pPr>
              <w:pStyle w:val="BulletedList"/>
              <w:numPr>
                <w:ilvl w:val="0"/>
                <w:numId w:val="0"/>
              </w:numPr>
              <w:ind w:left="567"/>
            </w:pPr>
          </w:p>
        </w:tc>
      </w:tr>
    </w:tbl>
    <w:p w14:paraId="72F4ED0F" w14:textId="77777777" w:rsidR="00E237F5" w:rsidRDefault="00E237F5">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5D50A0" w:rsidRPr="00DB3851" w14:paraId="53CB5950" w14:textId="77777777" w:rsidTr="006711AB">
        <w:trPr>
          <w:trHeight w:val="567"/>
        </w:trPr>
        <w:tc>
          <w:tcPr>
            <w:tcW w:w="14312" w:type="dxa"/>
            <w:shd w:val="clear" w:color="auto" w:fill="C6EAB8"/>
          </w:tcPr>
          <w:p w14:paraId="4031DBD5" w14:textId="6C3CC8EC" w:rsidR="005D50A0" w:rsidRPr="006711AB" w:rsidRDefault="005D50A0" w:rsidP="00000370">
            <w:pPr>
              <w:pStyle w:val="QAAnormal"/>
              <w:ind w:right="1134"/>
              <w:rPr>
                <w:rFonts w:cs="Arial"/>
                <w:b/>
                <w:bCs/>
                <w:color w:val="000000" w:themeColor="text1"/>
                <w:sz w:val="24"/>
                <w:szCs w:val="24"/>
              </w:rPr>
            </w:pPr>
            <w:r w:rsidRPr="006711AB">
              <w:rPr>
                <w:rFonts w:cs="Arial"/>
                <w:b/>
                <w:bCs/>
                <w:color w:val="000000" w:themeColor="text1"/>
                <w:sz w:val="24"/>
                <w:szCs w:val="24"/>
              </w:rPr>
              <w:lastRenderedPageBreak/>
              <w:t>Part 1</w:t>
            </w:r>
          </w:p>
        </w:tc>
      </w:tr>
      <w:tr w:rsidR="00C47E44" w:rsidRPr="00DB3851" w14:paraId="44BE8252" w14:textId="77777777" w:rsidTr="005D50A0">
        <w:trPr>
          <w:trHeight w:val="1839"/>
        </w:trPr>
        <w:tc>
          <w:tcPr>
            <w:tcW w:w="14312" w:type="dxa"/>
            <w:shd w:val="clear" w:color="auto" w:fill="auto"/>
          </w:tcPr>
          <w:p w14:paraId="1B3401E2" w14:textId="393744DF" w:rsidR="00C47E44" w:rsidRPr="00B50C81" w:rsidRDefault="00AB3BDF" w:rsidP="00000370">
            <w:pPr>
              <w:pStyle w:val="QAAnormal"/>
              <w:ind w:right="1134"/>
              <w:rPr>
                <w:rFonts w:cs="Arial"/>
                <w:b/>
                <w:bCs/>
                <w:color w:val="000000" w:themeColor="text1"/>
              </w:rPr>
            </w:pPr>
            <w:r w:rsidRPr="00B50C81">
              <w:rPr>
                <w:rFonts w:cs="Arial"/>
                <w:b/>
                <w:bCs/>
                <w:color w:val="000000" w:themeColor="text1"/>
              </w:rPr>
              <w:t>List</w:t>
            </w:r>
            <w:r w:rsidR="00000370" w:rsidRPr="00B50C81">
              <w:rPr>
                <w:rFonts w:cs="Arial"/>
                <w:b/>
                <w:bCs/>
                <w:color w:val="000000" w:themeColor="text1"/>
              </w:rPr>
              <w:t xml:space="preserve"> the evidence you believe </w:t>
            </w:r>
            <w:r w:rsidR="00C47E44" w:rsidRPr="00B50C81">
              <w:rPr>
                <w:rFonts w:cs="Arial"/>
                <w:b/>
                <w:bCs/>
                <w:color w:val="000000" w:themeColor="text1"/>
              </w:rPr>
              <w:t>will assist the review team in making a judgement on whether you demonstrate adherence to Se</w:t>
            </w:r>
            <w:r w:rsidR="00C47E44" w:rsidRPr="00B50C81">
              <w:rPr>
                <w:b/>
                <w:bCs/>
                <w:color w:val="000000" w:themeColor="text1"/>
              </w:rPr>
              <w:t>ctor-Agreed Principle</w:t>
            </w:r>
            <w:r w:rsidR="00E237F5">
              <w:rPr>
                <w:b/>
                <w:bCs/>
                <w:color w:val="000000" w:themeColor="text1"/>
              </w:rPr>
              <w:t xml:space="preserve"> </w:t>
            </w:r>
            <w:r w:rsidR="00C47E44" w:rsidRPr="00B50C81">
              <w:rPr>
                <w:b/>
                <w:bCs/>
                <w:color w:val="000000" w:themeColor="text1"/>
              </w:rPr>
              <w:t>1</w:t>
            </w:r>
            <w:r w:rsidR="0021023E" w:rsidRPr="00B50C81">
              <w:rPr>
                <w:b/>
                <w:bCs/>
                <w:color w:val="000000" w:themeColor="text1"/>
              </w:rPr>
              <w:t>2</w:t>
            </w:r>
            <w:r w:rsidR="00C47E44" w:rsidRPr="00B50C81">
              <w:rPr>
                <w:rFonts w:cs="Arial"/>
                <w:b/>
                <w:bCs/>
                <w:color w:val="000000" w:themeColor="text1"/>
              </w:rPr>
              <w:t>.</w:t>
            </w:r>
            <w:r w:rsidR="00C47E44" w:rsidRPr="00B50C81">
              <w:rPr>
                <w:b/>
                <w:bCs/>
                <w:color w:val="000000" w:themeColor="text1"/>
              </w:rPr>
              <w:t xml:space="preserve"> </w:t>
            </w:r>
          </w:p>
          <w:p w14:paraId="35390056" w14:textId="77777777" w:rsidR="00C47E44" w:rsidRDefault="00C47E44" w:rsidP="00D41B55">
            <w:pPr>
              <w:pStyle w:val="QAAnormal"/>
              <w:ind w:right="1134"/>
              <w:rPr>
                <w:rFonts w:cs="Arial"/>
                <w:color w:val="000000" w:themeColor="text1"/>
              </w:rPr>
            </w:pPr>
          </w:p>
          <w:p w14:paraId="5DB03C49" w14:textId="77777777" w:rsidR="00A91D39" w:rsidRDefault="00A91D39" w:rsidP="00A91D39">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358974D9" w14:textId="77777777" w:rsidR="00C47E44" w:rsidRDefault="00C47E44" w:rsidP="00D41B55">
            <w:pPr>
              <w:pStyle w:val="QAAnormal"/>
              <w:ind w:right="1134"/>
              <w:rPr>
                <w:rFonts w:cs="Arial"/>
                <w:color w:val="000000" w:themeColor="text1"/>
              </w:rPr>
            </w:pPr>
          </w:p>
          <w:p w14:paraId="7554794D" w14:textId="77777777" w:rsidR="00C47E44" w:rsidRPr="70FB7DD3" w:rsidRDefault="00C47E44" w:rsidP="00D41B55">
            <w:pPr>
              <w:pStyle w:val="QAAnormal"/>
              <w:ind w:right="1134"/>
              <w:rPr>
                <w:rFonts w:cs="Arial"/>
                <w:color w:val="000000" w:themeColor="text1"/>
              </w:rPr>
            </w:pPr>
          </w:p>
        </w:tc>
      </w:tr>
      <w:tr w:rsidR="005D50A0" w:rsidRPr="00DB3851" w14:paraId="416C920E" w14:textId="77777777" w:rsidTr="006711AB">
        <w:trPr>
          <w:trHeight w:val="567"/>
        </w:trPr>
        <w:tc>
          <w:tcPr>
            <w:tcW w:w="14312" w:type="dxa"/>
            <w:shd w:val="clear" w:color="auto" w:fill="C6EAB8"/>
          </w:tcPr>
          <w:p w14:paraId="4787D7BF" w14:textId="5F60C753" w:rsidR="005D50A0" w:rsidRPr="005D50A0" w:rsidRDefault="005D50A0" w:rsidP="00000370">
            <w:pPr>
              <w:pStyle w:val="QAAnormal"/>
              <w:ind w:right="1134"/>
              <w:rPr>
                <w:rFonts w:cs="Arial"/>
                <w:b/>
                <w:bCs/>
                <w:color w:val="000000" w:themeColor="text1"/>
                <w:sz w:val="24"/>
                <w:szCs w:val="24"/>
              </w:rPr>
            </w:pPr>
            <w:r w:rsidRPr="005D50A0">
              <w:rPr>
                <w:rFonts w:cs="Arial"/>
                <w:b/>
                <w:bCs/>
                <w:color w:val="000000" w:themeColor="text1"/>
                <w:sz w:val="24"/>
                <w:szCs w:val="24"/>
              </w:rPr>
              <w:t>Part 2</w:t>
            </w:r>
          </w:p>
        </w:tc>
      </w:tr>
      <w:tr w:rsidR="00000370" w:rsidRPr="00DB3851" w14:paraId="617181F9" w14:textId="77777777" w:rsidTr="005D50A0">
        <w:trPr>
          <w:trHeight w:val="1839"/>
        </w:trPr>
        <w:tc>
          <w:tcPr>
            <w:tcW w:w="14312" w:type="dxa"/>
            <w:shd w:val="clear" w:color="auto" w:fill="auto"/>
          </w:tcPr>
          <w:p w14:paraId="32875EBF" w14:textId="27F3005D" w:rsidR="00000370" w:rsidRPr="00B50C81" w:rsidRDefault="00000370" w:rsidP="00DD0ABF">
            <w:pPr>
              <w:pStyle w:val="QAAnormal"/>
              <w:ind w:right="454"/>
              <w:rPr>
                <w:b/>
                <w:bCs/>
              </w:rPr>
            </w:pPr>
            <w:r w:rsidRPr="00B50C81">
              <w:rPr>
                <w:b/>
                <w:bCs/>
              </w:rPr>
              <w:t xml:space="preserve">Highlight which parts of your evidence submission (listed in </w:t>
            </w:r>
            <w:r w:rsidR="005952B6">
              <w:rPr>
                <w:b/>
                <w:bCs/>
              </w:rPr>
              <w:t>Part 1</w:t>
            </w:r>
            <w:r w:rsidRPr="00B50C81">
              <w:rPr>
                <w:b/>
                <w:bCs/>
              </w:rPr>
              <w:t xml:space="preserve"> </w:t>
            </w:r>
            <w:r w:rsidR="00160EF0" w:rsidRPr="00B50C81">
              <w:rPr>
                <w:b/>
                <w:bCs/>
              </w:rPr>
              <w:t>above</w:t>
            </w:r>
            <w:r w:rsidRPr="00B50C81">
              <w:rPr>
                <w:b/>
                <w:bCs/>
              </w:rPr>
              <w:t>) the review team may wish to consider when forming a judgement as to whether you demonstrate adherence to Sector-Agreed Principle 12. Where applicable, include references to specific parts, sections or paragraphs of documents.</w:t>
            </w:r>
          </w:p>
          <w:p w14:paraId="5E165966" w14:textId="77777777" w:rsidR="000E4F57" w:rsidRDefault="000E4F57" w:rsidP="00000370">
            <w:pPr>
              <w:pStyle w:val="QAAnormal"/>
              <w:ind w:right="1134"/>
            </w:pPr>
          </w:p>
          <w:p w14:paraId="1A708409" w14:textId="77777777" w:rsidR="000E4F57" w:rsidRDefault="000E4F57" w:rsidP="000E4F57">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3087B683" w14:textId="02517AB7" w:rsidR="000E4F57" w:rsidRPr="00D6558D" w:rsidRDefault="000E4F57" w:rsidP="00000370">
            <w:pPr>
              <w:pStyle w:val="QAAnormal"/>
              <w:ind w:right="1134"/>
              <w:rPr>
                <w:rFonts w:cs="Arial"/>
                <w:b/>
                <w:bCs/>
                <w:color w:val="000000" w:themeColor="text1"/>
              </w:rPr>
            </w:pPr>
          </w:p>
        </w:tc>
      </w:tr>
      <w:tr w:rsidR="005D50A0" w:rsidRPr="00DB3851" w14:paraId="033D6CF4" w14:textId="77777777" w:rsidTr="006711AB">
        <w:trPr>
          <w:trHeight w:val="567"/>
        </w:trPr>
        <w:tc>
          <w:tcPr>
            <w:tcW w:w="14312" w:type="dxa"/>
            <w:shd w:val="clear" w:color="auto" w:fill="C6EAB8"/>
          </w:tcPr>
          <w:p w14:paraId="0233407B" w14:textId="58A0793C" w:rsidR="005D50A0" w:rsidRPr="005D50A0" w:rsidRDefault="005D50A0" w:rsidP="00000370">
            <w:pPr>
              <w:pStyle w:val="QAAnormal"/>
              <w:ind w:right="1134"/>
              <w:rPr>
                <w:rFonts w:cs="Arial"/>
                <w:b/>
                <w:bCs/>
                <w:color w:val="000000" w:themeColor="text1"/>
                <w:sz w:val="24"/>
                <w:szCs w:val="24"/>
              </w:rPr>
            </w:pPr>
            <w:r w:rsidRPr="005D50A0">
              <w:rPr>
                <w:rFonts w:cs="Arial"/>
                <w:b/>
                <w:bCs/>
                <w:color w:val="000000" w:themeColor="text1"/>
                <w:sz w:val="24"/>
                <w:szCs w:val="24"/>
              </w:rPr>
              <w:t>Part 3</w:t>
            </w:r>
          </w:p>
        </w:tc>
      </w:tr>
      <w:tr w:rsidR="00000370" w:rsidRPr="00DB3851" w14:paraId="22C9BA22" w14:textId="77777777" w:rsidTr="005D50A0">
        <w:trPr>
          <w:trHeight w:val="1839"/>
        </w:trPr>
        <w:tc>
          <w:tcPr>
            <w:tcW w:w="14312" w:type="dxa"/>
            <w:shd w:val="clear" w:color="auto" w:fill="auto"/>
          </w:tcPr>
          <w:p w14:paraId="5C143BEB" w14:textId="77777777" w:rsidR="00000370" w:rsidRPr="00B50C81" w:rsidRDefault="00000370" w:rsidP="00000370">
            <w:pPr>
              <w:pStyle w:val="QAAnormal"/>
              <w:ind w:right="1134"/>
              <w:rPr>
                <w:b/>
                <w:bCs/>
                <w:color w:val="000000" w:themeColor="text1"/>
              </w:rPr>
            </w:pPr>
            <w:r w:rsidRPr="00B50C81">
              <w:rPr>
                <w:b/>
                <w:bCs/>
                <w:color w:val="000000" w:themeColor="text1"/>
              </w:rPr>
              <w:t>Detail why you consider this evidence demonstrates that you adhere to Sector-Agreed Principle 12.</w:t>
            </w:r>
          </w:p>
          <w:p w14:paraId="62E376DA" w14:textId="77777777" w:rsidR="000E4F57" w:rsidRDefault="000E4F57" w:rsidP="00000370">
            <w:pPr>
              <w:pStyle w:val="QAAnormal"/>
              <w:ind w:right="1134"/>
              <w:rPr>
                <w:color w:val="000000" w:themeColor="text1"/>
              </w:rPr>
            </w:pPr>
          </w:p>
          <w:p w14:paraId="4B5366A1" w14:textId="77777777" w:rsidR="000E4F57" w:rsidRDefault="000E4F57" w:rsidP="000E4F57">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3CA50BFD" w14:textId="2DBBB699" w:rsidR="000E4F57" w:rsidRPr="00D6558D" w:rsidRDefault="000E4F57" w:rsidP="00000370">
            <w:pPr>
              <w:pStyle w:val="QAAnormal"/>
              <w:ind w:right="1134"/>
              <w:rPr>
                <w:rFonts w:cs="Arial"/>
                <w:b/>
                <w:bCs/>
                <w:color w:val="000000" w:themeColor="text1"/>
              </w:rPr>
            </w:pPr>
          </w:p>
        </w:tc>
      </w:tr>
    </w:tbl>
    <w:p w14:paraId="5DF69E05" w14:textId="77777777" w:rsidR="00C47E44" w:rsidRDefault="00C47E44" w:rsidP="00C47E44">
      <w:pPr>
        <w:rPr>
          <w:i/>
          <w:iCs/>
          <w:sz w:val="20"/>
        </w:rPr>
      </w:pPr>
      <w:r w:rsidRPr="4CD64A79">
        <w:rPr>
          <w:i/>
          <w:iCs/>
          <w:sz w:val="20"/>
        </w:rPr>
        <w:t>The table above will expand accordingly - the size of the table in this template is not an indicator as to the amount of detail you may provide.</w:t>
      </w:r>
    </w:p>
    <w:bookmarkEnd w:id="9"/>
    <w:p w14:paraId="1CC35204" w14:textId="77777777" w:rsidR="00056B90" w:rsidRDefault="00056B90">
      <w:pPr>
        <w:widowControl/>
        <w:spacing w:after="0"/>
        <w:rPr>
          <w:highlight w:val="yellow"/>
        </w:rPr>
      </w:pPr>
      <w:r>
        <w:rPr>
          <w:highlight w:val="yellow"/>
        </w:rP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CE4114" w:rsidRPr="00DB3851" w14:paraId="7D805FB0" w14:textId="77777777" w:rsidTr="005D50A0">
        <w:trPr>
          <w:trHeight w:val="555"/>
        </w:trPr>
        <w:tc>
          <w:tcPr>
            <w:tcW w:w="14312" w:type="dxa"/>
            <w:shd w:val="clear" w:color="auto" w:fill="C6EAB8"/>
          </w:tcPr>
          <w:p w14:paraId="2B4957A1" w14:textId="4104C1B5" w:rsidR="00CE4114" w:rsidRPr="00B50C81" w:rsidRDefault="00CE4114" w:rsidP="00D41B55">
            <w:pPr>
              <w:spacing w:before="60" w:after="120"/>
              <w:rPr>
                <w:b/>
                <w:bCs/>
                <w:sz w:val="24"/>
                <w:szCs w:val="24"/>
              </w:rPr>
            </w:pPr>
            <w:bookmarkStart w:id="10" w:name="_Hlk174348712"/>
            <w:r w:rsidRPr="00B50C81">
              <w:rPr>
                <w:b/>
                <w:bCs/>
                <w:sz w:val="24"/>
                <w:szCs w:val="24"/>
              </w:rPr>
              <w:lastRenderedPageBreak/>
              <w:t xml:space="preserve">Home Office </w:t>
            </w:r>
            <w:r w:rsidR="005D50A0" w:rsidRPr="00B50C81">
              <w:rPr>
                <w:b/>
                <w:bCs/>
                <w:sz w:val="24"/>
                <w:szCs w:val="24"/>
              </w:rPr>
              <w:t>R</w:t>
            </w:r>
            <w:r w:rsidRPr="00B50C81">
              <w:rPr>
                <w:b/>
                <w:bCs/>
                <w:sz w:val="24"/>
                <w:szCs w:val="24"/>
              </w:rPr>
              <w:t>equirement 5:</w:t>
            </w:r>
          </w:p>
          <w:p w14:paraId="37B3884A" w14:textId="064867DD" w:rsidR="00CE4114" w:rsidRDefault="00CE4114" w:rsidP="00D41B55">
            <w:pPr>
              <w:spacing w:before="60" w:after="120"/>
              <w:rPr>
                <w:b/>
                <w:bCs/>
                <w:color w:val="FFFFFF" w:themeColor="background1"/>
              </w:rPr>
            </w:pPr>
            <w:r w:rsidRPr="008E0E1F">
              <w:t xml:space="preserve">The </w:t>
            </w:r>
            <w:r>
              <w:t>su</w:t>
            </w:r>
            <w:r w:rsidR="00082A9A">
              <w:t xml:space="preserve">itability </w:t>
            </w:r>
            <w:r w:rsidR="00315D9F">
              <w:t xml:space="preserve">of teaching staff, </w:t>
            </w:r>
            <w:proofErr w:type="gramStart"/>
            <w:r w:rsidR="00315D9F">
              <w:t>taking into account</w:t>
            </w:r>
            <w:proofErr w:type="gramEnd"/>
            <w:r w:rsidR="00315D9F">
              <w:t xml:space="preserve"> whether pre-appointment checks have been carried out on staff where they will be teaching students under the age of eighteen or any vulnerable adults</w:t>
            </w:r>
          </w:p>
        </w:tc>
      </w:tr>
      <w:tr w:rsidR="00CE4114" w:rsidRPr="00DB3851" w14:paraId="7FB64308" w14:textId="77777777" w:rsidTr="003E7ACF">
        <w:trPr>
          <w:trHeight w:val="555"/>
        </w:trPr>
        <w:tc>
          <w:tcPr>
            <w:tcW w:w="14312" w:type="dxa"/>
            <w:shd w:val="clear" w:color="auto" w:fill="D9D9D9"/>
          </w:tcPr>
          <w:p w14:paraId="10CE82D6" w14:textId="77777777" w:rsidR="00CE4114" w:rsidRPr="00B50C81" w:rsidRDefault="00CE4114" w:rsidP="00B50C81">
            <w:pPr>
              <w:spacing w:before="60" w:after="120"/>
              <w:rPr>
                <w:b/>
                <w:bCs/>
                <w:color w:val="000000" w:themeColor="text1"/>
                <w:sz w:val="24"/>
                <w:szCs w:val="24"/>
              </w:rPr>
            </w:pPr>
            <w:r w:rsidRPr="00B50C81">
              <w:rPr>
                <w:b/>
                <w:bCs/>
                <w:color w:val="000000" w:themeColor="text1"/>
                <w:sz w:val="24"/>
                <w:szCs w:val="24"/>
              </w:rPr>
              <w:t xml:space="preserve">Sector-Agreed Principle </w:t>
            </w:r>
            <w:r w:rsidR="00F97A0A" w:rsidRPr="00B50C81">
              <w:rPr>
                <w:b/>
                <w:bCs/>
                <w:color w:val="000000" w:themeColor="text1"/>
                <w:sz w:val="24"/>
                <w:szCs w:val="24"/>
              </w:rPr>
              <w:t>3</w:t>
            </w:r>
            <w:r w:rsidR="003E7ACF" w:rsidRPr="00B50C81">
              <w:rPr>
                <w:b/>
                <w:bCs/>
                <w:color w:val="000000" w:themeColor="text1"/>
                <w:sz w:val="24"/>
                <w:szCs w:val="24"/>
              </w:rPr>
              <w:t>:</w:t>
            </w:r>
            <w:r w:rsidRPr="00B50C81">
              <w:rPr>
                <w:b/>
                <w:bCs/>
                <w:color w:val="000000" w:themeColor="text1"/>
                <w:sz w:val="24"/>
                <w:szCs w:val="24"/>
              </w:rPr>
              <w:t xml:space="preserve"> </w:t>
            </w:r>
            <w:r w:rsidR="00F97A0A" w:rsidRPr="00B50C81">
              <w:rPr>
                <w:b/>
                <w:bCs/>
                <w:color w:val="000000" w:themeColor="text1"/>
                <w:sz w:val="24"/>
                <w:szCs w:val="24"/>
              </w:rPr>
              <w:t>R</w:t>
            </w:r>
            <w:r w:rsidRPr="00B50C81">
              <w:rPr>
                <w:b/>
                <w:bCs/>
                <w:color w:val="000000" w:themeColor="text1"/>
                <w:sz w:val="24"/>
                <w:szCs w:val="24"/>
              </w:rPr>
              <w:t>e</w:t>
            </w:r>
            <w:r w:rsidR="00F97A0A" w:rsidRPr="00B50C81">
              <w:rPr>
                <w:b/>
                <w:bCs/>
                <w:color w:val="000000" w:themeColor="text1"/>
                <w:sz w:val="24"/>
                <w:szCs w:val="24"/>
              </w:rPr>
              <w:t>sourc</w:t>
            </w:r>
            <w:r w:rsidRPr="00B50C81">
              <w:rPr>
                <w:b/>
                <w:bCs/>
                <w:color w:val="000000" w:themeColor="text1"/>
                <w:sz w:val="24"/>
                <w:szCs w:val="24"/>
              </w:rPr>
              <w:t>ing del</w:t>
            </w:r>
            <w:r w:rsidR="001430F5" w:rsidRPr="00B50C81">
              <w:rPr>
                <w:b/>
                <w:bCs/>
                <w:color w:val="000000" w:themeColor="text1"/>
                <w:sz w:val="24"/>
                <w:szCs w:val="24"/>
              </w:rPr>
              <w:t>iv</w:t>
            </w:r>
            <w:r w:rsidRPr="00B50C81">
              <w:rPr>
                <w:b/>
                <w:bCs/>
                <w:color w:val="000000" w:themeColor="text1"/>
                <w:sz w:val="24"/>
                <w:szCs w:val="24"/>
              </w:rPr>
              <w:t>e</w:t>
            </w:r>
            <w:r w:rsidR="001430F5" w:rsidRPr="00B50C81">
              <w:rPr>
                <w:b/>
                <w:bCs/>
                <w:color w:val="000000" w:themeColor="text1"/>
                <w:sz w:val="24"/>
                <w:szCs w:val="24"/>
              </w:rPr>
              <w:t xml:space="preserve">ry of a high-quality learning </w:t>
            </w:r>
            <w:r w:rsidR="00EC4423" w:rsidRPr="00B50C81">
              <w:rPr>
                <w:b/>
                <w:bCs/>
                <w:color w:val="000000" w:themeColor="text1"/>
                <w:sz w:val="24"/>
                <w:szCs w:val="24"/>
              </w:rPr>
              <w:t>experience</w:t>
            </w:r>
          </w:p>
          <w:p w14:paraId="1BFB87A2" w14:textId="0B420F5B" w:rsidR="003E7ACF" w:rsidRDefault="003E7ACF" w:rsidP="00D41B55">
            <w:pPr>
              <w:spacing w:before="60" w:after="60"/>
              <w:rPr>
                <w:b/>
                <w:bCs/>
                <w:color w:val="000000" w:themeColor="text1"/>
              </w:rPr>
            </w:pPr>
            <w:r w:rsidRPr="00106073">
              <w:rPr>
                <w:i/>
                <w:iCs/>
                <w:szCs w:val="22"/>
              </w:rPr>
              <w:t xml:space="preserve">Providers </w:t>
            </w:r>
            <w:r w:rsidRPr="00106073">
              <w:rPr>
                <w:i/>
                <w:iCs/>
              </w:rPr>
              <w:t xml:space="preserve">plan, secure and maintain resources relating to learning, technology, facilities and staffing to enable the delivery and enhancement of an accessible, </w:t>
            </w:r>
            <w:proofErr w:type="gramStart"/>
            <w:r w:rsidRPr="00106073">
              <w:rPr>
                <w:i/>
                <w:iCs/>
              </w:rPr>
              <w:t>innovative</w:t>
            </w:r>
            <w:proofErr w:type="gramEnd"/>
            <w:r w:rsidRPr="00106073">
              <w:rPr>
                <w:i/>
                <w:iCs/>
              </w:rPr>
              <w:t xml:space="preserve"> and high-quality learning experience for students that aligns with the provider</w:t>
            </w:r>
            <w:r>
              <w:rPr>
                <w:i/>
                <w:iCs/>
              </w:rPr>
              <w:t>'</w:t>
            </w:r>
            <w:r w:rsidRPr="00106073">
              <w:rPr>
                <w:i/>
                <w:iCs/>
              </w:rPr>
              <w:t>s strategy and the composition of the student body.</w:t>
            </w:r>
          </w:p>
          <w:p w14:paraId="40E3D6DA" w14:textId="168ECC5A" w:rsidR="003E7ACF" w:rsidRPr="00DB3851" w:rsidRDefault="003E7ACF" w:rsidP="00D41B55">
            <w:pPr>
              <w:spacing w:before="60" w:after="60"/>
              <w:rPr>
                <w:rFonts w:eastAsia="Arial"/>
                <w:b/>
                <w:color w:val="FFFFFF" w:themeColor="background1"/>
                <w:szCs w:val="22"/>
              </w:rPr>
            </w:pPr>
          </w:p>
        </w:tc>
      </w:tr>
      <w:tr w:rsidR="00CE4114" w:rsidRPr="00DB3851" w14:paraId="2D182020" w14:textId="77777777" w:rsidTr="005D50A0">
        <w:trPr>
          <w:trHeight w:val="1839"/>
        </w:trPr>
        <w:tc>
          <w:tcPr>
            <w:tcW w:w="14312" w:type="dxa"/>
            <w:shd w:val="clear" w:color="auto" w:fill="auto"/>
          </w:tcPr>
          <w:p w14:paraId="658C5284" w14:textId="77777777" w:rsidR="00CE4114" w:rsidRDefault="00CE4114" w:rsidP="00D41B55">
            <w:pPr>
              <w:pStyle w:val="Header"/>
              <w:spacing w:before="60" w:after="60"/>
              <w:rPr>
                <w:b/>
                <w:bCs/>
                <w:color w:val="000000" w:themeColor="text1"/>
                <w:szCs w:val="22"/>
              </w:rPr>
            </w:pPr>
            <w:r w:rsidRPr="00FB5D34">
              <w:rPr>
                <w:b/>
                <w:bCs/>
                <w:color w:val="000000" w:themeColor="text1"/>
                <w:szCs w:val="22"/>
              </w:rPr>
              <w:t>Key Practices</w:t>
            </w:r>
          </w:p>
          <w:p w14:paraId="7FBC7A87" w14:textId="77777777" w:rsidR="005D50A0" w:rsidRDefault="005D50A0" w:rsidP="005D50A0">
            <w:pPr>
              <w:pStyle w:val="Header"/>
              <w:spacing w:before="60" w:after="0"/>
              <w:rPr>
                <w:b/>
                <w:bCs/>
                <w:color w:val="000000" w:themeColor="text1"/>
                <w:szCs w:val="22"/>
              </w:rPr>
            </w:pPr>
          </w:p>
          <w:p w14:paraId="68BEF6ED" w14:textId="77777777" w:rsidR="003E53FE" w:rsidRPr="00D6558D" w:rsidRDefault="003E53FE" w:rsidP="005D50A0">
            <w:pPr>
              <w:pStyle w:val="BulletedList"/>
              <w:numPr>
                <w:ilvl w:val="0"/>
                <w:numId w:val="24"/>
              </w:numPr>
              <w:ind w:left="567" w:hanging="567"/>
            </w:pPr>
            <w:r w:rsidRPr="00D6558D">
              <w:t>Strategic and operational plans, along with resources, align with the student journey and are designed and implemented to support a positive student experience and enable student achievement.</w:t>
            </w:r>
          </w:p>
          <w:p w14:paraId="0113CDEC" w14:textId="0B9E37CD" w:rsidR="003E53FE" w:rsidRPr="00D6558D" w:rsidRDefault="003E53FE" w:rsidP="005D50A0">
            <w:pPr>
              <w:pStyle w:val="BulletedList"/>
            </w:pPr>
            <w:r w:rsidRPr="00D6558D">
              <w:t xml:space="preserve">Providers ensure they have dedicated and inclusive resources to support and enhance the delivery of their programmes (and smaller units of study) along with the wellbeing of students and staff. These include staffing, </w:t>
            </w:r>
            <w:proofErr w:type="gramStart"/>
            <w:r w:rsidRPr="00D6558D">
              <w:t>digital</w:t>
            </w:r>
            <w:proofErr w:type="gramEnd"/>
            <w:r w:rsidRPr="00D6558D">
              <w:t xml:space="preserve"> and physical resources.</w:t>
            </w:r>
          </w:p>
          <w:p w14:paraId="6FCF98D2" w14:textId="77777777" w:rsidR="003E53FE" w:rsidRPr="00D6558D" w:rsidRDefault="003E53FE" w:rsidP="005D50A0">
            <w:pPr>
              <w:pStyle w:val="BulletedList"/>
            </w:pPr>
            <w:r w:rsidRPr="00D6558D">
              <w:t>Resources are reviewed and updated in alignment with strategic and programme developments and changes in provision, as well as staff and student recruitment. This also ensures relevance to the workplace and the wider academic discipline.</w:t>
            </w:r>
          </w:p>
          <w:p w14:paraId="0A269213" w14:textId="03CAA2AE" w:rsidR="003E53FE" w:rsidRPr="00D6558D" w:rsidRDefault="003E53FE" w:rsidP="005D50A0">
            <w:pPr>
              <w:pStyle w:val="BulletedList"/>
            </w:pPr>
            <w:r w:rsidRPr="00D6558D">
              <w:t xml:space="preserve">Resources are allocated to ensure that staff receive ongoing professional development to support and enhance the delivery of a </w:t>
            </w:r>
            <w:r w:rsidR="00324BE3">
              <w:t xml:space="preserve">          </w:t>
            </w:r>
            <w:r w:rsidRPr="00D6558D">
              <w:t>high-quality and innovative student learning and research experience.</w:t>
            </w:r>
          </w:p>
          <w:p w14:paraId="04BEA392" w14:textId="77777777" w:rsidR="003E53FE" w:rsidRPr="00D6558D" w:rsidRDefault="003E53FE" w:rsidP="005D50A0">
            <w:pPr>
              <w:pStyle w:val="BulletedList"/>
            </w:pPr>
            <w:r w:rsidRPr="00D6558D">
              <w:t xml:space="preserve">Processes and activities to support the management of academic standards and quality enhancement are appropriately resourced to meet strategic, </w:t>
            </w:r>
            <w:proofErr w:type="gramStart"/>
            <w:r w:rsidRPr="00D6558D">
              <w:t>operational</w:t>
            </w:r>
            <w:proofErr w:type="gramEnd"/>
            <w:r w:rsidRPr="00D6558D">
              <w:t xml:space="preserve"> and regulatory objectives and requirements.</w:t>
            </w:r>
          </w:p>
          <w:p w14:paraId="2095C227" w14:textId="77777777" w:rsidR="003E53FE" w:rsidRPr="00D6558D" w:rsidRDefault="003E53FE" w:rsidP="005D50A0">
            <w:pPr>
              <w:pStyle w:val="BulletedList"/>
            </w:pPr>
            <w:r w:rsidRPr="00D6558D">
              <w:t xml:space="preserve">The creation, </w:t>
            </w:r>
            <w:proofErr w:type="gramStart"/>
            <w:r w:rsidRPr="00D6558D">
              <w:t>development</w:t>
            </w:r>
            <w:proofErr w:type="gramEnd"/>
            <w:r w:rsidRPr="00D6558D">
              <w:t xml:space="preserve"> and maintenance of accessible and inclusive learning environments (physical and virtual) offer all students the opportunity to be engaged in their learning experience and facilitate a sense of belonging. Providers ensure they consider environmental sustainability in designing and maintaining these learning resources and facilities.</w:t>
            </w:r>
          </w:p>
          <w:p w14:paraId="63D5CFDD" w14:textId="0734F786" w:rsidR="00CE4114" w:rsidRPr="005D50A0" w:rsidRDefault="003E53FE" w:rsidP="00D6558D">
            <w:pPr>
              <w:pStyle w:val="BulletedList"/>
              <w:rPr>
                <w:rFonts w:cs="Arial"/>
                <w:color w:val="000000"/>
                <w:sz w:val="20"/>
              </w:rPr>
            </w:pPr>
            <w:r w:rsidRPr="00D6558D">
              <w:t>Providers, in collaboration with staff and students, monitor and evaluate on a systematic basis</w:t>
            </w:r>
            <w:r w:rsidR="00324BE3">
              <w:t>,</w:t>
            </w:r>
            <w:r w:rsidRPr="00D6558D">
              <w:t xml:space="preserve"> the effectiveness and impact of learning environments and the resources required for the delivery and enhancement of the learning experience.</w:t>
            </w:r>
          </w:p>
          <w:p w14:paraId="012CC1EC" w14:textId="7CA70D99" w:rsidR="005D50A0" w:rsidRPr="003E53FE" w:rsidRDefault="005D50A0" w:rsidP="005D50A0">
            <w:pPr>
              <w:pStyle w:val="BulletedList"/>
              <w:numPr>
                <w:ilvl w:val="0"/>
                <w:numId w:val="0"/>
              </w:numPr>
              <w:ind w:left="567"/>
              <w:rPr>
                <w:rFonts w:cs="Arial"/>
                <w:color w:val="000000"/>
                <w:sz w:val="20"/>
              </w:rPr>
            </w:pPr>
          </w:p>
        </w:tc>
      </w:tr>
    </w:tbl>
    <w:p w14:paraId="15DAFA98" w14:textId="77777777" w:rsidR="005D50A0" w:rsidRDefault="005D50A0">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5D50A0" w:rsidRPr="00DB3851" w14:paraId="0E0D3872" w14:textId="77777777" w:rsidTr="006711AB">
        <w:trPr>
          <w:trHeight w:val="567"/>
        </w:trPr>
        <w:tc>
          <w:tcPr>
            <w:tcW w:w="14312" w:type="dxa"/>
            <w:shd w:val="clear" w:color="auto" w:fill="C6EAB8"/>
          </w:tcPr>
          <w:p w14:paraId="75BA7AFD" w14:textId="401F8FC3" w:rsidR="005D50A0" w:rsidRPr="005D50A0" w:rsidRDefault="005D50A0" w:rsidP="00000370">
            <w:pPr>
              <w:pStyle w:val="QAAnormal"/>
              <w:ind w:right="1134"/>
              <w:rPr>
                <w:rFonts w:cs="Arial"/>
                <w:b/>
                <w:bCs/>
                <w:color w:val="000000" w:themeColor="text1"/>
                <w:sz w:val="24"/>
                <w:szCs w:val="24"/>
              </w:rPr>
            </w:pPr>
            <w:r w:rsidRPr="005D50A0">
              <w:rPr>
                <w:rFonts w:cs="Arial"/>
                <w:b/>
                <w:bCs/>
                <w:color w:val="000000" w:themeColor="text1"/>
                <w:sz w:val="24"/>
                <w:szCs w:val="24"/>
              </w:rPr>
              <w:lastRenderedPageBreak/>
              <w:t>Part 1</w:t>
            </w:r>
          </w:p>
        </w:tc>
      </w:tr>
      <w:tr w:rsidR="00CE4114" w:rsidRPr="00DB3851" w14:paraId="4FAD0F66" w14:textId="77777777" w:rsidTr="005D50A0">
        <w:trPr>
          <w:trHeight w:val="1839"/>
        </w:trPr>
        <w:tc>
          <w:tcPr>
            <w:tcW w:w="14312" w:type="dxa"/>
            <w:shd w:val="clear" w:color="auto" w:fill="auto"/>
          </w:tcPr>
          <w:p w14:paraId="2482FB55" w14:textId="4FCF75B5" w:rsidR="00CE4114" w:rsidRPr="00B50C81" w:rsidRDefault="00AB3BDF" w:rsidP="00000370">
            <w:pPr>
              <w:pStyle w:val="QAAnormal"/>
              <w:ind w:right="1134"/>
              <w:rPr>
                <w:rFonts w:cs="Arial"/>
                <w:b/>
                <w:bCs/>
                <w:color w:val="000000" w:themeColor="text1"/>
              </w:rPr>
            </w:pPr>
            <w:r w:rsidRPr="00B50C81">
              <w:rPr>
                <w:rFonts w:cs="Arial"/>
                <w:b/>
                <w:bCs/>
                <w:color w:val="000000" w:themeColor="text1"/>
              </w:rPr>
              <w:t>List</w:t>
            </w:r>
            <w:r w:rsidR="00000370" w:rsidRPr="00B50C81">
              <w:rPr>
                <w:rFonts w:cs="Arial"/>
                <w:b/>
                <w:bCs/>
                <w:color w:val="000000" w:themeColor="text1"/>
              </w:rPr>
              <w:t xml:space="preserve"> the evidence you believe </w:t>
            </w:r>
            <w:r w:rsidR="00CE4114" w:rsidRPr="00B50C81">
              <w:rPr>
                <w:rFonts w:cs="Arial"/>
                <w:b/>
                <w:bCs/>
                <w:color w:val="000000" w:themeColor="text1"/>
              </w:rPr>
              <w:t>will assist the review team in making a judgement on whether you demonstrate adherence to Se</w:t>
            </w:r>
            <w:r w:rsidR="00CE4114" w:rsidRPr="00B50C81">
              <w:rPr>
                <w:b/>
                <w:bCs/>
                <w:color w:val="000000" w:themeColor="text1"/>
              </w:rPr>
              <w:t>ctor-Agreed Principle</w:t>
            </w:r>
            <w:r w:rsidR="00256016" w:rsidRPr="00B50C81">
              <w:rPr>
                <w:b/>
                <w:bCs/>
                <w:color w:val="000000" w:themeColor="text1"/>
              </w:rPr>
              <w:t xml:space="preserve"> 3</w:t>
            </w:r>
            <w:r w:rsidR="00CE4114" w:rsidRPr="00B50C81">
              <w:rPr>
                <w:rFonts w:cs="Arial"/>
                <w:b/>
                <w:bCs/>
                <w:color w:val="000000" w:themeColor="text1"/>
              </w:rPr>
              <w:t>.</w:t>
            </w:r>
            <w:r w:rsidR="00CE4114" w:rsidRPr="00B50C81">
              <w:rPr>
                <w:b/>
                <w:bCs/>
                <w:color w:val="000000" w:themeColor="text1"/>
              </w:rPr>
              <w:t xml:space="preserve"> </w:t>
            </w:r>
          </w:p>
          <w:p w14:paraId="4FF0A8AF" w14:textId="77777777" w:rsidR="00CE4114" w:rsidRDefault="00CE4114" w:rsidP="00D41B55">
            <w:pPr>
              <w:pStyle w:val="QAAnormal"/>
              <w:ind w:right="1134"/>
              <w:rPr>
                <w:rFonts w:cs="Arial"/>
                <w:color w:val="000000" w:themeColor="text1"/>
              </w:rPr>
            </w:pPr>
          </w:p>
          <w:p w14:paraId="76620233" w14:textId="2F694CBF" w:rsidR="00CE4114" w:rsidRDefault="00AF647A" w:rsidP="005D50A0">
            <w:pPr>
              <w:pStyle w:val="QAAnormal"/>
              <w:ind w:right="460"/>
              <w:rPr>
                <w:rFonts w:cs="Arial"/>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28FB670C" w14:textId="77777777" w:rsidR="00CE4114" w:rsidRPr="70FB7DD3" w:rsidRDefault="00CE4114" w:rsidP="00D41B55">
            <w:pPr>
              <w:pStyle w:val="QAAnormal"/>
              <w:ind w:right="1134"/>
              <w:rPr>
                <w:rFonts w:cs="Arial"/>
                <w:color w:val="000000" w:themeColor="text1"/>
              </w:rPr>
            </w:pPr>
          </w:p>
        </w:tc>
      </w:tr>
      <w:tr w:rsidR="00CE060C" w:rsidRPr="00DB3851" w14:paraId="4C8E79F8" w14:textId="77777777" w:rsidTr="006711AB">
        <w:trPr>
          <w:trHeight w:val="567"/>
        </w:trPr>
        <w:tc>
          <w:tcPr>
            <w:tcW w:w="14312" w:type="dxa"/>
            <w:shd w:val="clear" w:color="auto" w:fill="C6EAB8"/>
          </w:tcPr>
          <w:p w14:paraId="47A97F89" w14:textId="3610AF5B" w:rsidR="00CE060C" w:rsidRPr="005D50A0" w:rsidRDefault="00CE060C" w:rsidP="00000370">
            <w:pPr>
              <w:pStyle w:val="QAAnormal"/>
              <w:ind w:right="1134"/>
              <w:rPr>
                <w:rFonts w:cs="Arial"/>
                <w:b/>
                <w:bCs/>
                <w:color w:val="000000" w:themeColor="text1"/>
                <w:sz w:val="24"/>
                <w:szCs w:val="24"/>
              </w:rPr>
            </w:pPr>
            <w:r w:rsidRPr="005D50A0">
              <w:rPr>
                <w:rFonts w:cs="Arial"/>
                <w:b/>
                <w:bCs/>
                <w:color w:val="000000" w:themeColor="text1"/>
                <w:sz w:val="24"/>
                <w:szCs w:val="24"/>
              </w:rPr>
              <w:t>Part 2</w:t>
            </w:r>
          </w:p>
        </w:tc>
      </w:tr>
      <w:tr w:rsidR="00000370" w:rsidRPr="00DB3851" w14:paraId="393079CD" w14:textId="77777777" w:rsidTr="00CE060C">
        <w:trPr>
          <w:trHeight w:val="1839"/>
        </w:trPr>
        <w:tc>
          <w:tcPr>
            <w:tcW w:w="14312" w:type="dxa"/>
            <w:shd w:val="clear" w:color="auto" w:fill="auto"/>
          </w:tcPr>
          <w:p w14:paraId="64E495A1" w14:textId="64E39078" w:rsidR="00000370" w:rsidRPr="00B50C81" w:rsidRDefault="00000370" w:rsidP="00DD0ABF">
            <w:pPr>
              <w:pStyle w:val="QAAnormal"/>
              <w:ind w:right="454"/>
              <w:rPr>
                <w:b/>
                <w:bCs/>
              </w:rPr>
            </w:pPr>
            <w:r w:rsidRPr="00B50C81">
              <w:rPr>
                <w:b/>
                <w:bCs/>
              </w:rPr>
              <w:t xml:space="preserve">Highlight which parts of your evidence submission (listed in </w:t>
            </w:r>
            <w:r w:rsidR="00324BE3">
              <w:rPr>
                <w:b/>
                <w:bCs/>
              </w:rPr>
              <w:t>Part 1</w:t>
            </w:r>
            <w:r w:rsidRPr="00B50C81">
              <w:rPr>
                <w:b/>
                <w:bCs/>
              </w:rPr>
              <w:t xml:space="preserve"> </w:t>
            </w:r>
            <w:r w:rsidR="00160EF0" w:rsidRPr="00B50C81">
              <w:rPr>
                <w:b/>
                <w:bCs/>
              </w:rPr>
              <w:t>above</w:t>
            </w:r>
            <w:r w:rsidRPr="00B50C81">
              <w:rPr>
                <w:b/>
                <w:bCs/>
              </w:rPr>
              <w:t>) the review team may wish to consider when forming a judgement as to whether you demonstrate adherence to Sector-Agreed Principle 3. Where applicable, include references to specific parts, sections or paragraphs of documents.</w:t>
            </w:r>
          </w:p>
          <w:p w14:paraId="1D798503" w14:textId="77777777" w:rsidR="00AF647A" w:rsidRDefault="00AF647A" w:rsidP="00D41B55">
            <w:pPr>
              <w:pStyle w:val="QAAnormal"/>
              <w:ind w:right="1134"/>
            </w:pPr>
          </w:p>
          <w:p w14:paraId="59F08367" w14:textId="77777777" w:rsidR="00AF647A" w:rsidRDefault="00AF647A" w:rsidP="00AF647A">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51DA27AA" w14:textId="01C9EC3D" w:rsidR="00AF647A" w:rsidRPr="00D6558D" w:rsidRDefault="00AF647A" w:rsidP="00D41B55">
            <w:pPr>
              <w:pStyle w:val="QAAnormal"/>
              <w:ind w:right="1134"/>
              <w:rPr>
                <w:rFonts w:cs="Arial"/>
                <w:color w:val="000000" w:themeColor="text1"/>
              </w:rPr>
            </w:pPr>
          </w:p>
        </w:tc>
      </w:tr>
      <w:tr w:rsidR="00CE060C" w:rsidRPr="00DB3851" w14:paraId="514B0B39" w14:textId="77777777" w:rsidTr="006711AB">
        <w:trPr>
          <w:trHeight w:val="567"/>
        </w:trPr>
        <w:tc>
          <w:tcPr>
            <w:tcW w:w="14312" w:type="dxa"/>
            <w:shd w:val="clear" w:color="auto" w:fill="C6EAB8"/>
          </w:tcPr>
          <w:p w14:paraId="7846DAF6" w14:textId="6771E62F" w:rsidR="00CE060C" w:rsidRPr="005D50A0" w:rsidRDefault="00CE060C" w:rsidP="00000370">
            <w:pPr>
              <w:pStyle w:val="QAAnormal"/>
              <w:ind w:right="1134"/>
              <w:rPr>
                <w:rFonts w:cs="Arial"/>
                <w:b/>
                <w:bCs/>
                <w:color w:val="000000" w:themeColor="text1"/>
                <w:sz w:val="24"/>
                <w:szCs w:val="24"/>
              </w:rPr>
            </w:pPr>
            <w:r w:rsidRPr="005D50A0">
              <w:rPr>
                <w:rFonts w:cs="Arial"/>
                <w:b/>
                <w:bCs/>
                <w:color w:val="000000" w:themeColor="text1"/>
                <w:sz w:val="24"/>
                <w:szCs w:val="24"/>
              </w:rPr>
              <w:t>Part 3</w:t>
            </w:r>
          </w:p>
        </w:tc>
      </w:tr>
      <w:tr w:rsidR="00000370" w:rsidRPr="00DB3851" w14:paraId="080E2F9D" w14:textId="77777777" w:rsidTr="00CE060C">
        <w:trPr>
          <w:trHeight w:val="1839"/>
        </w:trPr>
        <w:tc>
          <w:tcPr>
            <w:tcW w:w="14312" w:type="dxa"/>
            <w:shd w:val="clear" w:color="auto" w:fill="auto"/>
          </w:tcPr>
          <w:p w14:paraId="146B3F27" w14:textId="77777777" w:rsidR="00000370" w:rsidRPr="00B50C81" w:rsidRDefault="00000370" w:rsidP="00D41B55">
            <w:pPr>
              <w:pStyle w:val="QAAnormal"/>
              <w:ind w:right="1134"/>
              <w:rPr>
                <w:b/>
                <w:bCs/>
                <w:color w:val="000000" w:themeColor="text1"/>
              </w:rPr>
            </w:pPr>
            <w:r w:rsidRPr="00B50C81">
              <w:rPr>
                <w:b/>
                <w:bCs/>
                <w:color w:val="000000" w:themeColor="text1"/>
              </w:rPr>
              <w:t>Detail why you consider this evidence demonstrates that you adhere to Sector-Agreed Principle 3.</w:t>
            </w:r>
          </w:p>
          <w:p w14:paraId="6943F5B7" w14:textId="77777777" w:rsidR="00AF647A" w:rsidRDefault="00AF647A" w:rsidP="00D41B55">
            <w:pPr>
              <w:pStyle w:val="QAAnormal"/>
              <w:ind w:right="1134"/>
              <w:rPr>
                <w:color w:val="000000" w:themeColor="text1"/>
              </w:rPr>
            </w:pPr>
          </w:p>
          <w:p w14:paraId="6F364B83" w14:textId="77777777" w:rsidR="00AF647A" w:rsidRDefault="00AF647A" w:rsidP="00AF647A">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69EB6F00" w14:textId="462289EF" w:rsidR="00AF647A" w:rsidRDefault="00AF647A" w:rsidP="00D41B55">
            <w:pPr>
              <w:pStyle w:val="QAAnormal"/>
              <w:ind w:right="1134"/>
              <w:rPr>
                <w:rFonts w:cs="Arial"/>
                <w:color w:val="000000" w:themeColor="text1"/>
              </w:rPr>
            </w:pPr>
          </w:p>
        </w:tc>
      </w:tr>
    </w:tbl>
    <w:p w14:paraId="06791D70" w14:textId="5BCA238B" w:rsidR="00CE4114" w:rsidRDefault="00CE4114" w:rsidP="00CE4114">
      <w:pPr>
        <w:rPr>
          <w:i/>
          <w:iCs/>
          <w:sz w:val="20"/>
        </w:rPr>
      </w:pPr>
      <w:r w:rsidRPr="4CD64A79">
        <w:rPr>
          <w:i/>
          <w:iCs/>
          <w:sz w:val="20"/>
        </w:rPr>
        <w:t xml:space="preserve">The table above will expand accordingly </w:t>
      </w:r>
      <w:r w:rsidR="003E7ACF">
        <w:rPr>
          <w:i/>
          <w:iCs/>
          <w:sz w:val="20"/>
        </w:rPr>
        <w:t>–</w:t>
      </w:r>
      <w:r w:rsidRPr="4CD64A79">
        <w:rPr>
          <w:i/>
          <w:iCs/>
          <w:sz w:val="20"/>
        </w:rPr>
        <w:t xml:space="preserve"> the size of the table in this template is not an indicator as to the amount of detail you may provide.</w:t>
      </w:r>
    </w:p>
    <w:p w14:paraId="01496FF8" w14:textId="77777777" w:rsidR="00F97E7C" w:rsidRDefault="00F97E7C">
      <w:pPr>
        <w:widowControl/>
        <w:spacing w:after="0"/>
      </w:pPr>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F97E7C" w:rsidRPr="00DB3851" w14:paraId="0D8C1256" w14:textId="77777777" w:rsidTr="00CE060C">
        <w:trPr>
          <w:trHeight w:val="555"/>
        </w:trPr>
        <w:tc>
          <w:tcPr>
            <w:tcW w:w="14312" w:type="dxa"/>
            <w:shd w:val="clear" w:color="auto" w:fill="C6EAB8"/>
          </w:tcPr>
          <w:p w14:paraId="13EE44C6" w14:textId="655E1F51" w:rsidR="00F97E7C" w:rsidRPr="00B50C81" w:rsidRDefault="00F97E7C" w:rsidP="00D41B55">
            <w:pPr>
              <w:spacing w:before="60" w:after="120"/>
              <w:rPr>
                <w:b/>
                <w:bCs/>
                <w:sz w:val="24"/>
                <w:szCs w:val="22"/>
              </w:rPr>
            </w:pPr>
            <w:bookmarkStart w:id="11" w:name="_Hlk174350221"/>
            <w:bookmarkEnd w:id="10"/>
            <w:r w:rsidRPr="00B50C81">
              <w:rPr>
                <w:b/>
                <w:bCs/>
                <w:sz w:val="24"/>
                <w:szCs w:val="22"/>
              </w:rPr>
              <w:lastRenderedPageBreak/>
              <w:t xml:space="preserve">Home Office </w:t>
            </w:r>
            <w:r w:rsidR="00CE060C" w:rsidRPr="00B50C81">
              <w:rPr>
                <w:b/>
                <w:bCs/>
                <w:sz w:val="24"/>
                <w:szCs w:val="22"/>
              </w:rPr>
              <w:t>R</w:t>
            </w:r>
            <w:r w:rsidRPr="00B50C81">
              <w:rPr>
                <w:b/>
                <w:bCs/>
                <w:sz w:val="24"/>
                <w:szCs w:val="22"/>
              </w:rPr>
              <w:t xml:space="preserve">equirement </w:t>
            </w:r>
            <w:r w:rsidR="00E64822" w:rsidRPr="00B50C81">
              <w:rPr>
                <w:b/>
                <w:bCs/>
                <w:sz w:val="24"/>
                <w:szCs w:val="22"/>
              </w:rPr>
              <w:t>6</w:t>
            </w:r>
            <w:r w:rsidRPr="00B50C81">
              <w:rPr>
                <w:b/>
                <w:bCs/>
                <w:sz w:val="24"/>
                <w:szCs w:val="22"/>
              </w:rPr>
              <w:t>:</w:t>
            </w:r>
          </w:p>
          <w:p w14:paraId="36D11129" w14:textId="13E58506" w:rsidR="00F97E7C" w:rsidRDefault="00F97E7C" w:rsidP="00D41B55">
            <w:pPr>
              <w:spacing w:before="60" w:after="120"/>
              <w:rPr>
                <w:b/>
                <w:bCs/>
                <w:color w:val="FFFFFF" w:themeColor="background1"/>
              </w:rPr>
            </w:pPr>
            <w:r w:rsidRPr="008E0E1F">
              <w:t xml:space="preserve">The </w:t>
            </w:r>
            <w:r>
              <w:t xml:space="preserve">suitability of </w:t>
            </w:r>
            <w:r w:rsidR="00CE26B4" w:rsidRPr="00DA2EE7">
              <w:rPr>
                <w:szCs w:val="22"/>
              </w:rPr>
              <w:t>the premises for teaching, having regard to the number, age and needs (including any special needs) of students</w:t>
            </w:r>
          </w:p>
        </w:tc>
      </w:tr>
      <w:tr w:rsidR="00F97E7C" w:rsidRPr="00DB3851" w14:paraId="3B32768D" w14:textId="77777777" w:rsidTr="003E7ACF">
        <w:trPr>
          <w:trHeight w:val="555"/>
        </w:trPr>
        <w:tc>
          <w:tcPr>
            <w:tcW w:w="14312" w:type="dxa"/>
            <w:shd w:val="clear" w:color="auto" w:fill="D9D9D9"/>
          </w:tcPr>
          <w:p w14:paraId="1F3A9426" w14:textId="77777777" w:rsidR="00F97E7C" w:rsidRPr="00B50C81" w:rsidRDefault="00F97E7C" w:rsidP="00B50C81">
            <w:pPr>
              <w:spacing w:before="60" w:after="120"/>
              <w:rPr>
                <w:b/>
                <w:bCs/>
                <w:color w:val="000000" w:themeColor="text1"/>
                <w:sz w:val="24"/>
                <w:szCs w:val="24"/>
              </w:rPr>
            </w:pPr>
            <w:r w:rsidRPr="00B50C81">
              <w:rPr>
                <w:b/>
                <w:bCs/>
                <w:color w:val="000000" w:themeColor="text1"/>
                <w:sz w:val="24"/>
                <w:szCs w:val="24"/>
              </w:rPr>
              <w:t>Sector-Agreed Principle 3</w:t>
            </w:r>
            <w:r w:rsidR="00CE060C" w:rsidRPr="00B50C81">
              <w:rPr>
                <w:b/>
                <w:bCs/>
                <w:color w:val="000000" w:themeColor="text1"/>
                <w:sz w:val="24"/>
                <w:szCs w:val="24"/>
              </w:rPr>
              <w:t>:</w:t>
            </w:r>
            <w:r w:rsidRPr="00B50C81">
              <w:rPr>
                <w:b/>
                <w:bCs/>
                <w:color w:val="000000" w:themeColor="text1"/>
                <w:sz w:val="24"/>
                <w:szCs w:val="24"/>
              </w:rPr>
              <w:t xml:space="preserve"> Resourcing delivery of a high-quality learning </w:t>
            </w:r>
            <w:r w:rsidR="00F177F7" w:rsidRPr="00B50C81">
              <w:rPr>
                <w:b/>
                <w:bCs/>
                <w:color w:val="000000" w:themeColor="text1"/>
                <w:sz w:val="24"/>
                <w:szCs w:val="24"/>
              </w:rPr>
              <w:t>experience</w:t>
            </w:r>
          </w:p>
          <w:p w14:paraId="51A828CF" w14:textId="6173C7AE" w:rsidR="003E7ACF" w:rsidRPr="00DB3851" w:rsidRDefault="003E7ACF" w:rsidP="00D41B55">
            <w:pPr>
              <w:spacing w:before="60" w:after="60"/>
              <w:rPr>
                <w:rFonts w:eastAsia="Arial"/>
                <w:b/>
                <w:color w:val="FFFFFF" w:themeColor="background1"/>
                <w:szCs w:val="22"/>
              </w:rPr>
            </w:pPr>
            <w:r w:rsidRPr="00106073">
              <w:rPr>
                <w:i/>
                <w:iCs/>
                <w:szCs w:val="22"/>
              </w:rPr>
              <w:t xml:space="preserve">Providers </w:t>
            </w:r>
            <w:r w:rsidRPr="00106073">
              <w:rPr>
                <w:i/>
                <w:iCs/>
              </w:rPr>
              <w:t xml:space="preserve">plan, secure and maintain resources relating to learning, technology, facilities and staffing to enable the delivery and enhancement of an accessible, </w:t>
            </w:r>
            <w:proofErr w:type="gramStart"/>
            <w:r w:rsidRPr="00106073">
              <w:rPr>
                <w:i/>
                <w:iCs/>
              </w:rPr>
              <w:t>innovative</w:t>
            </w:r>
            <w:proofErr w:type="gramEnd"/>
            <w:r w:rsidRPr="00106073">
              <w:rPr>
                <w:i/>
                <w:iCs/>
              </w:rPr>
              <w:t xml:space="preserve"> and high-quality learning experience for students that aligns with the provider</w:t>
            </w:r>
            <w:r>
              <w:rPr>
                <w:i/>
                <w:iCs/>
              </w:rPr>
              <w:t>'</w:t>
            </w:r>
            <w:r w:rsidRPr="00106073">
              <w:rPr>
                <w:i/>
                <w:iCs/>
              </w:rPr>
              <w:t>s strategy and the composition of the student body.</w:t>
            </w:r>
          </w:p>
        </w:tc>
      </w:tr>
      <w:tr w:rsidR="00F97E7C" w:rsidRPr="00DB3851" w14:paraId="108423FD" w14:textId="77777777" w:rsidTr="00CE060C">
        <w:trPr>
          <w:trHeight w:val="1839"/>
        </w:trPr>
        <w:tc>
          <w:tcPr>
            <w:tcW w:w="14312" w:type="dxa"/>
            <w:shd w:val="clear" w:color="auto" w:fill="auto"/>
          </w:tcPr>
          <w:p w14:paraId="6E9BE8C4" w14:textId="77777777" w:rsidR="00F97E7C" w:rsidRDefault="00F97E7C" w:rsidP="00D41B55">
            <w:pPr>
              <w:pStyle w:val="Header"/>
              <w:spacing w:before="60" w:after="60"/>
              <w:rPr>
                <w:b/>
                <w:bCs/>
                <w:color w:val="000000" w:themeColor="text1"/>
                <w:szCs w:val="22"/>
              </w:rPr>
            </w:pPr>
            <w:r w:rsidRPr="00FB5D34">
              <w:rPr>
                <w:b/>
                <w:bCs/>
                <w:color w:val="000000" w:themeColor="text1"/>
                <w:szCs w:val="22"/>
              </w:rPr>
              <w:t>Key Practices</w:t>
            </w:r>
          </w:p>
          <w:p w14:paraId="7BDAEB6C" w14:textId="77777777" w:rsidR="00CE060C" w:rsidRDefault="00CE060C" w:rsidP="00CE060C">
            <w:pPr>
              <w:pStyle w:val="Header"/>
              <w:spacing w:before="60" w:after="0"/>
              <w:rPr>
                <w:b/>
                <w:bCs/>
                <w:color w:val="000000" w:themeColor="text1"/>
                <w:szCs w:val="22"/>
              </w:rPr>
            </w:pPr>
          </w:p>
          <w:p w14:paraId="6E3D993E" w14:textId="77777777" w:rsidR="00F97E7C" w:rsidRPr="00D6558D" w:rsidRDefault="00F97E7C" w:rsidP="00CE060C">
            <w:pPr>
              <w:pStyle w:val="BulletedList"/>
              <w:numPr>
                <w:ilvl w:val="0"/>
                <w:numId w:val="25"/>
              </w:numPr>
              <w:ind w:left="567" w:hanging="567"/>
            </w:pPr>
            <w:r w:rsidRPr="00D6558D">
              <w:t>Strategic and operational plans, along with resources, align with the student journey and are designed and implemented to support a positive student experience and enable student achievement.</w:t>
            </w:r>
          </w:p>
          <w:p w14:paraId="4C2CCB0C" w14:textId="092A4522" w:rsidR="00F97E7C" w:rsidRPr="00D6558D" w:rsidRDefault="00F97E7C" w:rsidP="00CE060C">
            <w:pPr>
              <w:pStyle w:val="BulletedList"/>
            </w:pPr>
            <w:r w:rsidRPr="00D6558D">
              <w:t xml:space="preserve">Providers ensure they have dedicated and inclusive resources to support and enhance the delivery of their programmes (and smaller units of study) along with the wellbeing of students and staff. These include staffing, </w:t>
            </w:r>
            <w:proofErr w:type="gramStart"/>
            <w:r w:rsidRPr="00D6558D">
              <w:t>digital</w:t>
            </w:r>
            <w:proofErr w:type="gramEnd"/>
            <w:r w:rsidRPr="00D6558D">
              <w:t xml:space="preserve"> and physical resources.</w:t>
            </w:r>
          </w:p>
          <w:p w14:paraId="6D765802" w14:textId="77777777" w:rsidR="00F97E7C" w:rsidRPr="00D6558D" w:rsidRDefault="00F97E7C" w:rsidP="00CE060C">
            <w:pPr>
              <w:pStyle w:val="BulletedList"/>
            </w:pPr>
            <w:r w:rsidRPr="00D6558D">
              <w:t>Resources are reviewed and updated in alignment with strategic and programme developments and changes in provision, as well as staff and student recruitment. This also ensures relevance to the workplace and the wider academic discipline.</w:t>
            </w:r>
          </w:p>
          <w:p w14:paraId="701B3DF5" w14:textId="26BC2328" w:rsidR="00F97E7C" w:rsidRPr="00D6558D" w:rsidRDefault="00F97E7C" w:rsidP="00CE060C">
            <w:pPr>
              <w:pStyle w:val="BulletedList"/>
            </w:pPr>
            <w:r w:rsidRPr="00D6558D">
              <w:t xml:space="preserve">Resources are allocated to ensure that staff receive ongoing professional development to support and enhance the delivery of a </w:t>
            </w:r>
            <w:r w:rsidR="00212EC4">
              <w:t xml:space="preserve">          </w:t>
            </w:r>
            <w:r w:rsidRPr="00D6558D">
              <w:t>high-quality and innovative student learning and research experience.</w:t>
            </w:r>
          </w:p>
          <w:p w14:paraId="6024DC4F" w14:textId="77777777" w:rsidR="00F97E7C" w:rsidRPr="00D6558D" w:rsidRDefault="00F97E7C" w:rsidP="00CE060C">
            <w:pPr>
              <w:pStyle w:val="BulletedList"/>
            </w:pPr>
            <w:r w:rsidRPr="00D6558D">
              <w:t xml:space="preserve">Processes and activities to support the management of academic standards and quality enhancement are appropriately resourced to meet strategic, </w:t>
            </w:r>
            <w:proofErr w:type="gramStart"/>
            <w:r w:rsidRPr="00D6558D">
              <w:t>operational</w:t>
            </w:r>
            <w:proofErr w:type="gramEnd"/>
            <w:r w:rsidRPr="00D6558D">
              <w:t xml:space="preserve"> and regulatory objectives and requirements.</w:t>
            </w:r>
          </w:p>
          <w:p w14:paraId="0124A9BB" w14:textId="77777777" w:rsidR="00F97E7C" w:rsidRPr="00D6558D" w:rsidRDefault="00F97E7C" w:rsidP="00CE060C">
            <w:pPr>
              <w:pStyle w:val="BulletedList"/>
            </w:pPr>
            <w:r w:rsidRPr="00D6558D">
              <w:t xml:space="preserve">The creation, </w:t>
            </w:r>
            <w:proofErr w:type="gramStart"/>
            <w:r w:rsidRPr="00D6558D">
              <w:t>development</w:t>
            </w:r>
            <w:proofErr w:type="gramEnd"/>
            <w:r w:rsidRPr="00D6558D">
              <w:t xml:space="preserve"> and maintenance of accessible and inclusive learning environments (physical and virtual) offer all students the opportunity to be engaged in their learning experience and facilitate a sense of belonging. Providers ensure they consider environmental sustainability in designing and maintaining these learning resources and facilities.</w:t>
            </w:r>
          </w:p>
          <w:p w14:paraId="19CDFDE1" w14:textId="77777777" w:rsidR="00F97E7C" w:rsidRPr="008E58A6" w:rsidRDefault="00F97E7C" w:rsidP="00D6558D">
            <w:pPr>
              <w:pStyle w:val="BulletedList"/>
              <w:rPr>
                <w:rFonts w:cs="Arial"/>
                <w:color w:val="000000"/>
                <w:sz w:val="20"/>
              </w:rPr>
            </w:pPr>
            <w:r w:rsidRPr="00D6558D">
              <w:t>Providers, in collaboration with staff and students, monitor and evaluate on a systematic basis the effectiveness and impact of learning environments and the resources required for the delivery and enhancement of the learning experience.</w:t>
            </w:r>
          </w:p>
          <w:p w14:paraId="7690150A" w14:textId="77777777" w:rsidR="008E58A6" w:rsidRPr="00463171" w:rsidRDefault="008E58A6" w:rsidP="008E58A6">
            <w:pPr>
              <w:pStyle w:val="BulletedList"/>
              <w:numPr>
                <w:ilvl w:val="0"/>
                <w:numId w:val="0"/>
              </w:numPr>
              <w:ind w:left="567"/>
              <w:rPr>
                <w:rFonts w:cs="Arial"/>
                <w:color w:val="000000"/>
                <w:sz w:val="20"/>
              </w:rPr>
            </w:pPr>
          </w:p>
        </w:tc>
      </w:tr>
    </w:tbl>
    <w:p w14:paraId="41408E10" w14:textId="77777777" w:rsidR="00CE060C" w:rsidRDefault="00CE060C">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971C2D" w:rsidRPr="00DB3851" w14:paraId="2EC8518E" w14:textId="77777777" w:rsidTr="008E58A6">
        <w:trPr>
          <w:trHeight w:val="567"/>
        </w:trPr>
        <w:tc>
          <w:tcPr>
            <w:tcW w:w="14312" w:type="dxa"/>
            <w:shd w:val="clear" w:color="auto" w:fill="C6EAB8"/>
          </w:tcPr>
          <w:p w14:paraId="5384F56E" w14:textId="799416ED" w:rsidR="00971C2D" w:rsidRPr="008E58A6" w:rsidRDefault="008E58A6" w:rsidP="00000370">
            <w:pPr>
              <w:pStyle w:val="QAAnormal"/>
              <w:ind w:right="1134"/>
              <w:rPr>
                <w:rFonts w:cs="Arial"/>
                <w:b/>
                <w:bCs/>
                <w:color w:val="000000" w:themeColor="text1"/>
                <w:sz w:val="24"/>
                <w:szCs w:val="24"/>
              </w:rPr>
            </w:pPr>
            <w:r w:rsidRPr="008E58A6">
              <w:rPr>
                <w:rFonts w:cs="Arial"/>
                <w:b/>
                <w:bCs/>
                <w:color w:val="000000" w:themeColor="text1"/>
                <w:sz w:val="24"/>
                <w:szCs w:val="24"/>
              </w:rPr>
              <w:lastRenderedPageBreak/>
              <w:t>Part 1</w:t>
            </w:r>
          </w:p>
        </w:tc>
      </w:tr>
      <w:tr w:rsidR="00F97E7C" w:rsidRPr="00DB3851" w14:paraId="32323AED" w14:textId="77777777" w:rsidTr="008E58A6">
        <w:trPr>
          <w:trHeight w:val="1839"/>
        </w:trPr>
        <w:tc>
          <w:tcPr>
            <w:tcW w:w="14312" w:type="dxa"/>
            <w:shd w:val="clear" w:color="auto" w:fill="auto"/>
          </w:tcPr>
          <w:p w14:paraId="20C53E43" w14:textId="35AACE4B" w:rsidR="00F97E7C" w:rsidRPr="00B50C81" w:rsidRDefault="00AB3BDF" w:rsidP="00000370">
            <w:pPr>
              <w:pStyle w:val="QAAnormal"/>
              <w:ind w:right="1134"/>
              <w:rPr>
                <w:rFonts w:cs="Arial"/>
                <w:b/>
                <w:bCs/>
                <w:color w:val="000000" w:themeColor="text1"/>
              </w:rPr>
            </w:pPr>
            <w:r w:rsidRPr="00B50C81">
              <w:rPr>
                <w:rFonts w:cs="Arial"/>
                <w:b/>
                <w:bCs/>
                <w:color w:val="000000" w:themeColor="text1"/>
              </w:rPr>
              <w:t>List</w:t>
            </w:r>
            <w:r w:rsidR="00000370" w:rsidRPr="00B50C81">
              <w:rPr>
                <w:rFonts w:cs="Arial"/>
                <w:b/>
                <w:bCs/>
                <w:color w:val="000000" w:themeColor="text1"/>
              </w:rPr>
              <w:t xml:space="preserve"> the evidence you believe </w:t>
            </w:r>
            <w:r w:rsidR="00F97E7C" w:rsidRPr="00B50C81">
              <w:rPr>
                <w:rFonts w:cs="Arial"/>
                <w:b/>
                <w:bCs/>
                <w:color w:val="000000" w:themeColor="text1"/>
              </w:rPr>
              <w:t>will assist the review team in making a judgement on whether you demonstrate adherence to Se</w:t>
            </w:r>
            <w:r w:rsidR="00F97E7C" w:rsidRPr="00B50C81">
              <w:rPr>
                <w:b/>
                <w:bCs/>
                <w:color w:val="000000" w:themeColor="text1"/>
              </w:rPr>
              <w:t>ctor-Agreed Principle 3</w:t>
            </w:r>
            <w:r w:rsidR="00F97E7C" w:rsidRPr="00B50C81">
              <w:rPr>
                <w:rFonts w:cs="Arial"/>
                <w:b/>
                <w:bCs/>
                <w:color w:val="000000" w:themeColor="text1"/>
              </w:rPr>
              <w:t>.</w:t>
            </w:r>
            <w:r w:rsidR="00F97E7C" w:rsidRPr="00B50C81">
              <w:rPr>
                <w:b/>
                <w:bCs/>
                <w:color w:val="000000" w:themeColor="text1"/>
              </w:rPr>
              <w:t xml:space="preserve"> </w:t>
            </w:r>
          </w:p>
          <w:p w14:paraId="49F25559" w14:textId="77777777" w:rsidR="00F97E7C" w:rsidRDefault="00F97E7C" w:rsidP="00D41B55">
            <w:pPr>
              <w:pStyle w:val="QAAnormal"/>
              <w:ind w:right="1134"/>
              <w:rPr>
                <w:rFonts w:cs="Arial"/>
                <w:color w:val="000000" w:themeColor="text1"/>
              </w:rPr>
            </w:pPr>
          </w:p>
          <w:p w14:paraId="250FB808" w14:textId="77777777" w:rsidR="00A91A87" w:rsidRDefault="00A91A87" w:rsidP="00A91A87">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076E6C02" w14:textId="77777777" w:rsidR="00F97E7C" w:rsidRPr="70FB7DD3" w:rsidRDefault="00F97E7C" w:rsidP="00D41B55">
            <w:pPr>
              <w:pStyle w:val="QAAnormal"/>
              <w:ind w:right="1134"/>
              <w:rPr>
                <w:rFonts w:cs="Arial"/>
                <w:color w:val="000000" w:themeColor="text1"/>
              </w:rPr>
            </w:pPr>
          </w:p>
        </w:tc>
      </w:tr>
      <w:tr w:rsidR="00971C2D" w:rsidRPr="00DB3851" w14:paraId="79C519EB" w14:textId="77777777" w:rsidTr="008E58A6">
        <w:trPr>
          <w:trHeight w:val="567"/>
        </w:trPr>
        <w:tc>
          <w:tcPr>
            <w:tcW w:w="14312" w:type="dxa"/>
            <w:shd w:val="clear" w:color="auto" w:fill="C6EAB8"/>
          </w:tcPr>
          <w:p w14:paraId="4350471E" w14:textId="7D6236B1" w:rsidR="00971C2D" w:rsidRPr="00971C2D" w:rsidRDefault="00971C2D" w:rsidP="00A91A87">
            <w:pPr>
              <w:pStyle w:val="QAAnormal"/>
              <w:ind w:right="1134"/>
              <w:rPr>
                <w:rFonts w:cs="Arial"/>
                <w:b/>
                <w:bCs/>
                <w:color w:val="000000" w:themeColor="text1"/>
                <w:sz w:val="24"/>
                <w:szCs w:val="24"/>
              </w:rPr>
            </w:pPr>
            <w:r w:rsidRPr="00971C2D">
              <w:rPr>
                <w:rFonts w:cs="Arial"/>
                <w:b/>
                <w:bCs/>
                <w:color w:val="000000" w:themeColor="text1"/>
                <w:sz w:val="24"/>
                <w:szCs w:val="24"/>
              </w:rPr>
              <w:t>Part 2</w:t>
            </w:r>
          </w:p>
        </w:tc>
      </w:tr>
      <w:tr w:rsidR="00A91A87" w:rsidRPr="00DB3851" w14:paraId="7173088A" w14:textId="77777777" w:rsidTr="00971C2D">
        <w:trPr>
          <w:trHeight w:val="1839"/>
        </w:trPr>
        <w:tc>
          <w:tcPr>
            <w:tcW w:w="14312" w:type="dxa"/>
            <w:shd w:val="clear" w:color="auto" w:fill="auto"/>
          </w:tcPr>
          <w:p w14:paraId="7D4AFF4C" w14:textId="74B8DBC6" w:rsidR="00A91A87" w:rsidRPr="00B50C81" w:rsidRDefault="00A91A87" w:rsidP="00DD0ABF">
            <w:pPr>
              <w:pStyle w:val="QAAnormal"/>
              <w:ind w:right="454"/>
              <w:rPr>
                <w:b/>
                <w:bCs/>
              </w:rPr>
            </w:pPr>
            <w:r w:rsidRPr="00B50C81">
              <w:rPr>
                <w:b/>
                <w:bCs/>
              </w:rPr>
              <w:t xml:space="preserve">Highlight which parts of your evidence submission (listed in </w:t>
            </w:r>
            <w:r w:rsidR="007F383F">
              <w:rPr>
                <w:b/>
                <w:bCs/>
              </w:rPr>
              <w:t>Part 1</w:t>
            </w:r>
            <w:r w:rsidRPr="00B50C81">
              <w:rPr>
                <w:b/>
                <w:bCs/>
              </w:rPr>
              <w:t xml:space="preserve"> above) the review team may wish to consider when forming a judgement as to whether you demonstrate adherence to Sector-Agreed Principle 3. Where applicable, include references to specific parts, sections or paragraphs of documents.</w:t>
            </w:r>
          </w:p>
          <w:p w14:paraId="0FA7273E" w14:textId="77777777" w:rsidR="00A91A87" w:rsidRDefault="00A91A87" w:rsidP="00A91A87">
            <w:pPr>
              <w:pStyle w:val="QAAnormal"/>
              <w:ind w:right="1134"/>
            </w:pPr>
          </w:p>
          <w:p w14:paraId="17974575" w14:textId="77777777" w:rsidR="00A91A87" w:rsidRDefault="00A91A87" w:rsidP="00A91A87">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01C68B2A" w14:textId="77777777" w:rsidR="00A91A87" w:rsidRPr="00D6558D" w:rsidRDefault="00A91A87" w:rsidP="00A91A87">
            <w:pPr>
              <w:pStyle w:val="QAAnormal"/>
              <w:ind w:right="1134"/>
              <w:rPr>
                <w:rFonts w:cs="Arial"/>
                <w:color w:val="000000" w:themeColor="text1"/>
              </w:rPr>
            </w:pPr>
          </w:p>
          <w:p w14:paraId="6EC407FB" w14:textId="77777777" w:rsidR="00A91A87" w:rsidRPr="00C96FB2" w:rsidRDefault="00A91A87" w:rsidP="00000370">
            <w:pPr>
              <w:pStyle w:val="QAAnormal"/>
              <w:ind w:right="1134"/>
              <w:rPr>
                <w:rFonts w:cs="Arial"/>
                <w:b/>
                <w:bCs/>
                <w:color w:val="000000" w:themeColor="text1"/>
              </w:rPr>
            </w:pPr>
          </w:p>
        </w:tc>
      </w:tr>
      <w:tr w:rsidR="00971C2D" w:rsidRPr="00DB3851" w14:paraId="3D6B7531" w14:textId="77777777" w:rsidTr="008E58A6">
        <w:trPr>
          <w:trHeight w:val="567"/>
        </w:trPr>
        <w:tc>
          <w:tcPr>
            <w:tcW w:w="14312" w:type="dxa"/>
            <w:shd w:val="clear" w:color="auto" w:fill="C6EAB8"/>
          </w:tcPr>
          <w:p w14:paraId="023EC72B" w14:textId="668EF060" w:rsidR="00971C2D" w:rsidRPr="00971C2D" w:rsidRDefault="00971C2D" w:rsidP="00000370">
            <w:pPr>
              <w:pStyle w:val="QAAnormal"/>
              <w:ind w:right="1134"/>
              <w:rPr>
                <w:rFonts w:cs="Arial"/>
                <w:b/>
                <w:bCs/>
                <w:color w:val="000000" w:themeColor="text1"/>
                <w:sz w:val="24"/>
                <w:szCs w:val="24"/>
              </w:rPr>
            </w:pPr>
            <w:r w:rsidRPr="00971C2D">
              <w:rPr>
                <w:rFonts w:cs="Arial"/>
                <w:b/>
                <w:bCs/>
                <w:color w:val="000000" w:themeColor="text1"/>
                <w:sz w:val="24"/>
                <w:szCs w:val="24"/>
              </w:rPr>
              <w:t>Part 3</w:t>
            </w:r>
          </w:p>
        </w:tc>
      </w:tr>
      <w:tr w:rsidR="00000370" w:rsidRPr="00DB3851" w14:paraId="2578B8AA" w14:textId="77777777" w:rsidTr="00971C2D">
        <w:trPr>
          <w:trHeight w:val="1839"/>
        </w:trPr>
        <w:tc>
          <w:tcPr>
            <w:tcW w:w="14312" w:type="dxa"/>
            <w:shd w:val="clear" w:color="auto" w:fill="auto"/>
          </w:tcPr>
          <w:p w14:paraId="30347255" w14:textId="6712EE0F" w:rsidR="00000370" w:rsidRPr="00B50C81" w:rsidRDefault="00000370" w:rsidP="00D41B55">
            <w:pPr>
              <w:pStyle w:val="QAAnormal"/>
              <w:ind w:right="1134"/>
              <w:rPr>
                <w:b/>
                <w:bCs/>
                <w:color w:val="000000" w:themeColor="text1"/>
              </w:rPr>
            </w:pPr>
            <w:r w:rsidRPr="00B50C81">
              <w:rPr>
                <w:b/>
                <w:bCs/>
                <w:color w:val="000000" w:themeColor="text1"/>
              </w:rPr>
              <w:t>Detail why you consider this evidence demonstrates that you adhere to Sector-Agreed Principle 3.</w:t>
            </w:r>
          </w:p>
          <w:p w14:paraId="7046A9DE" w14:textId="77777777" w:rsidR="00A91A87" w:rsidRDefault="00A91A87" w:rsidP="00D41B55">
            <w:pPr>
              <w:pStyle w:val="QAAnormal"/>
              <w:ind w:right="1134"/>
              <w:rPr>
                <w:color w:val="000000" w:themeColor="text1"/>
              </w:rPr>
            </w:pPr>
          </w:p>
          <w:p w14:paraId="177E22F3" w14:textId="77777777" w:rsidR="00A91A87" w:rsidRDefault="00A91A87" w:rsidP="00A91A87">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41488E0B" w14:textId="77777777" w:rsidR="00A91A87" w:rsidRPr="00D6558D" w:rsidRDefault="00A91A87" w:rsidP="00D41B55">
            <w:pPr>
              <w:pStyle w:val="QAAnormal"/>
              <w:ind w:right="1134"/>
              <w:rPr>
                <w:rFonts w:cs="Arial"/>
                <w:color w:val="000000" w:themeColor="text1"/>
              </w:rPr>
            </w:pPr>
          </w:p>
          <w:p w14:paraId="57F6787A" w14:textId="356B29CD" w:rsidR="00000370" w:rsidRDefault="00000370" w:rsidP="00D41B55">
            <w:pPr>
              <w:pStyle w:val="QAAnormal"/>
              <w:ind w:right="1134"/>
              <w:rPr>
                <w:rFonts w:cs="Arial"/>
                <w:color w:val="000000" w:themeColor="text1"/>
              </w:rPr>
            </w:pPr>
          </w:p>
        </w:tc>
      </w:tr>
    </w:tbl>
    <w:p w14:paraId="5AC43811" w14:textId="77777777" w:rsidR="00F97E7C" w:rsidRDefault="00F97E7C" w:rsidP="00F97E7C">
      <w:pPr>
        <w:rPr>
          <w:i/>
          <w:iCs/>
          <w:sz w:val="20"/>
        </w:rPr>
      </w:pPr>
      <w:r w:rsidRPr="4CD64A79">
        <w:rPr>
          <w:i/>
          <w:iCs/>
          <w:sz w:val="20"/>
        </w:rPr>
        <w:t>The table above will expand accordingly - the size of the table in this template is not an indicator as to the amount of detail you may provide.</w:t>
      </w:r>
    </w:p>
    <w:bookmarkEnd w:id="11"/>
    <w:p w14:paraId="20109137" w14:textId="77777777" w:rsidR="00000370" w:rsidRDefault="00000370" w:rsidP="00F97E7C">
      <w:pPr>
        <w:widowControl/>
        <w:spacing w:after="0"/>
      </w:pPr>
    </w:p>
    <w:p w14:paraId="1EBD2339" w14:textId="77777777" w:rsidR="00E237F5" w:rsidRDefault="001D7931" w:rsidP="00F97E7C">
      <w:pPr>
        <w:widowControl/>
        <w:spacing w:after="0"/>
        <w:rPr>
          <w:b/>
          <w:bCs/>
        </w:rPr>
        <w:sectPr w:rsidR="00E237F5" w:rsidSect="00BA30A7">
          <w:headerReference w:type="default" r:id="rId14"/>
          <w:footerReference w:type="default" r:id="rId15"/>
          <w:pgSz w:w="16838" w:h="11906" w:orient="landscape" w:code="9"/>
          <w:pgMar w:top="1440" w:right="1440" w:bottom="1440" w:left="1440" w:header="720" w:footer="720" w:gutter="0"/>
          <w:pgNumType w:start="4"/>
          <w:cols w:space="708"/>
          <w:docGrid w:linePitch="326"/>
        </w:sectPr>
      </w:pPr>
      <w:r w:rsidRPr="005D52FE">
        <w:rPr>
          <w:b/>
          <w:bCs/>
        </w:rPr>
        <w:t xml:space="preserve">IMPORTANT: </w:t>
      </w:r>
      <w:r w:rsidR="00AD156F">
        <w:rPr>
          <w:b/>
          <w:bCs/>
        </w:rPr>
        <w:t xml:space="preserve">For </w:t>
      </w:r>
      <w:r w:rsidR="007C24A3" w:rsidRPr="005D52FE">
        <w:rPr>
          <w:b/>
          <w:bCs/>
        </w:rPr>
        <w:t>category A providers</w:t>
      </w:r>
      <w:r w:rsidR="00B04B70" w:rsidRPr="005D52FE">
        <w:rPr>
          <w:b/>
          <w:bCs/>
        </w:rPr>
        <w:t xml:space="preserve"> </w:t>
      </w:r>
      <w:r w:rsidR="00D10472" w:rsidRPr="005D52FE">
        <w:rPr>
          <w:b/>
          <w:bCs/>
        </w:rPr>
        <w:t xml:space="preserve">who are subject </w:t>
      </w:r>
      <w:r w:rsidR="003314CB">
        <w:rPr>
          <w:b/>
          <w:bCs/>
        </w:rPr>
        <w:t xml:space="preserve">only </w:t>
      </w:r>
      <w:r w:rsidR="00D10472" w:rsidRPr="005D52FE">
        <w:rPr>
          <w:b/>
          <w:bCs/>
        </w:rPr>
        <w:t xml:space="preserve">to the </w:t>
      </w:r>
      <w:r w:rsidR="0073151B" w:rsidRPr="005D52FE">
        <w:rPr>
          <w:b/>
          <w:bCs/>
        </w:rPr>
        <w:t>Core</w:t>
      </w:r>
      <w:r w:rsidR="00D10472" w:rsidRPr="005D52FE">
        <w:rPr>
          <w:b/>
          <w:bCs/>
        </w:rPr>
        <w:t xml:space="preserve"> component of </w:t>
      </w:r>
      <w:r w:rsidR="00240D49" w:rsidRPr="005D52FE">
        <w:rPr>
          <w:b/>
          <w:bCs/>
        </w:rPr>
        <w:t>Educational Oversight Review</w:t>
      </w:r>
      <w:r w:rsidR="003314CB">
        <w:rPr>
          <w:b/>
          <w:bCs/>
        </w:rPr>
        <w:t xml:space="preserve">, </w:t>
      </w:r>
      <w:r w:rsidR="00661483">
        <w:rPr>
          <w:b/>
          <w:bCs/>
        </w:rPr>
        <w:t>p</w:t>
      </w:r>
      <w:r w:rsidR="004A2C8C" w:rsidRPr="005D52FE">
        <w:rPr>
          <w:b/>
          <w:bCs/>
        </w:rPr>
        <w:t xml:space="preserve">lease </w:t>
      </w:r>
      <w:r w:rsidR="00946F64">
        <w:rPr>
          <w:b/>
          <w:bCs/>
        </w:rPr>
        <w:t>go to</w:t>
      </w:r>
      <w:r w:rsidR="004A2C8C" w:rsidRPr="005D52FE">
        <w:rPr>
          <w:b/>
          <w:bCs/>
        </w:rPr>
        <w:t xml:space="preserve"> </w:t>
      </w:r>
      <w:r w:rsidR="0010394B" w:rsidRPr="005D52FE">
        <w:rPr>
          <w:b/>
          <w:bCs/>
        </w:rPr>
        <w:t>S</w:t>
      </w:r>
      <w:r w:rsidR="004A2C8C" w:rsidRPr="005D52FE">
        <w:rPr>
          <w:b/>
          <w:bCs/>
        </w:rPr>
        <w:t>ection 3 and 4</w:t>
      </w:r>
      <w:r w:rsidR="00EC4423" w:rsidRPr="005D52FE">
        <w:rPr>
          <w:b/>
          <w:bCs/>
        </w:rPr>
        <w:t>.</w:t>
      </w:r>
      <w:r w:rsidR="00661483">
        <w:rPr>
          <w:b/>
          <w:bCs/>
        </w:rPr>
        <w:t xml:space="preserve"> </w:t>
      </w:r>
      <w:r w:rsidR="001A237A" w:rsidRPr="00000370">
        <w:rPr>
          <w:b/>
          <w:bCs/>
        </w:rPr>
        <w:t xml:space="preserve">Providers </w:t>
      </w:r>
      <w:r w:rsidR="004E15DD" w:rsidRPr="00000370">
        <w:rPr>
          <w:b/>
          <w:bCs/>
        </w:rPr>
        <w:t xml:space="preserve">subject to the </w:t>
      </w:r>
      <w:r w:rsidR="007A6B65" w:rsidRPr="00000370">
        <w:rPr>
          <w:b/>
          <w:bCs/>
        </w:rPr>
        <w:t xml:space="preserve">Full component will </w:t>
      </w:r>
      <w:r w:rsidR="007A6B65" w:rsidRPr="00DD0ABF">
        <w:rPr>
          <w:b/>
          <w:bCs/>
          <w:u w:val="single"/>
        </w:rPr>
        <w:t>also</w:t>
      </w:r>
      <w:r w:rsidR="007A6B65" w:rsidRPr="00000370">
        <w:rPr>
          <w:b/>
          <w:bCs/>
        </w:rPr>
        <w:t xml:space="preserve"> be assessed against the remaining </w:t>
      </w:r>
      <w:r w:rsidR="009934AC" w:rsidRPr="00000370">
        <w:rPr>
          <w:b/>
          <w:bCs/>
        </w:rPr>
        <w:t>Sector-Agreed Principles that follow</w:t>
      </w:r>
      <w:r w:rsidR="00BA1488">
        <w:rPr>
          <w:b/>
          <w:bCs/>
        </w:rPr>
        <w:t>; p</w:t>
      </w:r>
      <w:r w:rsidR="00EC4423">
        <w:rPr>
          <w:b/>
          <w:bCs/>
        </w:rPr>
        <w:t xml:space="preserve">lease complete the tables below including </w:t>
      </w:r>
      <w:r w:rsidR="006B0CDF">
        <w:rPr>
          <w:b/>
          <w:bCs/>
        </w:rPr>
        <w:t>S</w:t>
      </w:r>
      <w:r w:rsidR="00EC4423">
        <w:rPr>
          <w:b/>
          <w:bCs/>
        </w:rPr>
        <w:t>ection 3 and 4.</w:t>
      </w:r>
    </w:p>
    <w:p w14:paraId="15208FB5" w14:textId="0996CA42" w:rsidR="00946F64" w:rsidRDefault="008D38DC" w:rsidP="003E75FF">
      <w:pPr>
        <w:pStyle w:val="Heading3"/>
      </w:pPr>
      <w:r>
        <w:lastRenderedPageBreak/>
        <w:t>F</w:t>
      </w:r>
      <w:r w:rsidR="00D6558D">
        <w:t>ull component</w:t>
      </w:r>
    </w:p>
    <w:p w14:paraId="5A8FA332" w14:textId="45406890" w:rsidR="0011402F" w:rsidRPr="00D54453" w:rsidRDefault="005D5393" w:rsidP="003E75FF">
      <w:pPr>
        <w:pStyle w:val="Heading3"/>
        <w:rPr>
          <w:color w:val="000000" w:themeColor="text1"/>
        </w:rPr>
      </w:pPr>
      <w:r w:rsidRPr="00D54453">
        <w:rPr>
          <w:b w:val="0"/>
          <w:bCs/>
          <w:color w:val="000000" w:themeColor="text1"/>
          <w:sz w:val="22"/>
          <w:szCs w:val="22"/>
        </w:rPr>
        <w:t>This section applies to category A, B and C providers who are subject to the Full component of Educational Oversight Review.</w:t>
      </w:r>
      <w:r w:rsidRPr="00D54453">
        <w:rPr>
          <w:bCs/>
          <w:color w:val="000000" w:themeColor="text1"/>
        </w:rP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9934AC" w:rsidRPr="00DB3851" w14:paraId="12206EBA" w14:textId="77777777" w:rsidTr="00DD0ABF">
        <w:trPr>
          <w:trHeight w:val="1344"/>
        </w:trPr>
        <w:tc>
          <w:tcPr>
            <w:tcW w:w="14312" w:type="dxa"/>
            <w:shd w:val="clear" w:color="auto" w:fill="C6EAB8"/>
          </w:tcPr>
          <w:p w14:paraId="31EBC3CB" w14:textId="77777777" w:rsidR="009934AC" w:rsidRPr="00B378D0" w:rsidRDefault="009934AC" w:rsidP="00B378D0">
            <w:pPr>
              <w:spacing w:before="60" w:after="120"/>
              <w:rPr>
                <w:b/>
                <w:bCs/>
                <w:color w:val="000000" w:themeColor="text1"/>
                <w:sz w:val="24"/>
                <w:szCs w:val="24"/>
              </w:rPr>
            </w:pPr>
            <w:bookmarkStart w:id="12" w:name="_Hlk174350809"/>
            <w:r w:rsidRPr="00B378D0">
              <w:rPr>
                <w:b/>
                <w:bCs/>
                <w:color w:val="000000" w:themeColor="text1"/>
                <w:sz w:val="24"/>
                <w:szCs w:val="24"/>
              </w:rPr>
              <w:t xml:space="preserve">Sector-Agreed Principle </w:t>
            </w:r>
            <w:r w:rsidR="00D442F3" w:rsidRPr="00B378D0">
              <w:rPr>
                <w:b/>
                <w:bCs/>
                <w:color w:val="000000" w:themeColor="text1"/>
                <w:sz w:val="24"/>
                <w:szCs w:val="24"/>
              </w:rPr>
              <w:t>2</w:t>
            </w:r>
            <w:r w:rsidR="003E75FF" w:rsidRPr="00B378D0">
              <w:rPr>
                <w:b/>
                <w:bCs/>
                <w:color w:val="000000" w:themeColor="text1"/>
                <w:sz w:val="24"/>
                <w:szCs w:val="24"/>
              </w:rPr>
              <w:t xml:space="preserve">: </w:t>
            </w:r>
            <w:r w:rsidR="00D442F3" w:rsidRPr="00B378D0">
              <w:rPr>
                <w:b/>
                <w:bCs/>
                <w:color w:val="000000" w:themeColor="text1"/>
                <w:sz w:val="24"/>
                <w:szCs w:val="24"/>
              </w:rPr>
              <w:t>Engaging students as partners</w:t>
            </w:r>
          </w:p>
          <w:p w14:paraId="2FC0AAD7" w14:textId="77777777" w:rsidR="003E7ACF" w:rsidRDefault="003E7ACF" w:rsidP="00D41B55">
            <w:pPr>
              <w:spacing w:before="60" w:after="60"/>
              <w:rPr>
                <w:i/>
                <w:iCs/>
                <w:szCs w:val="22"/>
              </w:rPr>
            </w:pPr>
            <w:r w:rsidRPr="003E75FF">
              <w:rPr>
                <w:i/>
                <w:iCs/>
                <w:szCs w:val="22"/>
              </w:rPr>
              <w:t>Providers take deliberate steps to engage students as active partners in assuring and enhancing the quality of the student learning experience. Engagement happens individually and collectively to influence all levels of study and decision making. Enhancements identified through student engagement activities are implemented, where appropriate, and communicated to staff and students.</w:t>
            </w:r>
          </w:p>
          <w:p w14:paraId="3E59B278" w14:textId="19F75BD3" w:rsidR="003E7ACF" w:rsidRPr="00DB3851" w:rsidRDefault="003E7ACF" w:rsidP="00D41B55">
            <w:pPr>
              <w:spacing w:before="60" w:after="60"/>
              <w:rPr>
                <w:rFonts w:eastAsia="Arial"/>
                <w:b/>
                <w:color w:val="FFFFFF" w:themeColor="background1"/>
                <w:szCs w:val="22"/>
              </w:rPr>
            </w:pPr>
          </w:p>
        </w:tc>
      </w:tr>
      <w:tr w:rsidR="009934AC" w:rsidRPr="00DB3851" w14:paraId="474B0F08" w14:textId="77777777" w:rsidTr="003E7ACF">
        <w:trPr>
          <w:trHeight w:val="1839"/>
        </w:trPr>
        <w:tc>
          <w:tcPr>
            <w:tcW w:w="14312" w:type="dxa"/>
            <w:shd w:val="clear" w:color="auto" w:fill="auto"/>
          </w:tcPr>
          <w:p w14:paraId="7161938D" w14:textId="77777777" w:rsidR="009934AC" w:rsidRDefault="009934AC" w:rsidP="00D41B55">
            <w:pPr>
              <w:pStyle w:val="Header"/>
              <w:spacing w:before="60" w:after="60"/>
              <w:rPr>
                <w:b/>
                <w:bCs/>
                <w:color w:val="000000" w:themeColor="text1"/>
                <w:szCs w:val="22"/>
              </w:rPr>
            </w:pPr>
            <w:r w:rsidRPr="00FB5D34">
              <w:rPr>
                <w:b/>
                <w:bCs/>
                <w:color w:val="000000" w:themeColor="text1"/>
                <w:szCs w:val="22"/>
              </w:rPr>
              <w:t>Key Practices</w:t>
            </w:r>
          </w:p>
          <w:p w14:paraId="7C678CCD" w14:textId="77777777" w:rsidR="003E75FF" w:rsidRDefault="003E75FF" w:rsidP="003E75FF">
            <w:pPr>
              <w:pStyle w:val="Header"/>
              <w:spacing w:before="60" w:after="0"/>
              <w:rPr>
                <w:b/>
                <w:bCs/>
                <w:color w:val="000000" w:themeColor="text1"/>
                <w:szCs w:val="22"/>
              </w:rPr>
            </w:pPr>
          </w:p>
          <w:p w14:paraId="010634C3" w14:textId="77777777" w:rsidR="004853BB" w:rsidRPr="00D6558D" w:rsidRDefault="004853BB" w:rsidP="00645AE2">
            <w:pPr>
              <w:pStyle w:val="BulletedList"/>
              <w:numPr>
                <w:ilvl w:val="0"/>
                <w:numId w:val="26"/>
              </w:numPr>
              <w:ind w:left="567" w:hanging="567"/>
            </w:pPr>
            <w:r w:rsidRPr="00D6558D">
              <w:t>Student engagement through partnership working is strategically led, student-centred and embedded in the culture of providers.</w:t>
            </w:r>
          </w:p>
          <w:p w14:paraId="6622C9A5" w14:textId="77777777" w:rsidR="004853BB" w:rsidRPr="00D6558D" w:rsidRDefault="004853BB" w:rsidP="00D6558D">
            <w:pPr>
              <w:pStyle w:val="BulletedList"/>
            </w:pPr>
            <w:r w:rsidRPr="00D6558D">
              <w:t xml:space="preserve">Student engagement and representation activities are clearly defined, communicated, </w:t>
            </w:r>
            <w:proofErr w:type="gramStart"/>
            <w:r w:rsidRPr="00D6558D">
              <w:t>resourced</w:t>
            </w:r>
            <w:proofErr w:type="gramEnd"/>
            <w:r w:rsidRPr="00D6558D">
              <w:t xml:space="preserve"> and supported. Transparent arrangements are in place for the collective student voice to be heard and responded to.</w:t>
            </w:r>
          </w:p>
          <w:p w14:paraId="5F9EB09B" w14:textId="77777777" w:rsidR="004853BB" w:rsidRPr="00D6558D" w:rsidRDefault="004853BB" w:rsidP="00D6558D">
            <w:pPr>
              <w:pStyle w:val="BulletedList"/>
            </w:pPr>
            <w:r w:rsidRPr="00D6558D">
              <w:t xml:space="preserve">Providers demonstrate effective engagement with students, ensuring any representative groups or panels reflect the diversity of the student body. Students understand that their voice has been listened to and are aware of how their views have impacted the assurance and enhancement of the student experience. </w:t>
            </w:r>
          </w:p>
          <w:p w14:paraId="65EA24AA" w14:textId="7C86B13D" w:rsidR="004853BB" w:rsidRPr="00D6558D" w:rsidRDefault="004853BB" w:rsidP="00D6558D">
            <w:pPr>
              <w:pStyle w:val="BulletedList"/>
            </w:pPr>
            <w:r w:rsidRPr="00D6558D">
              <w:t>Student engagement opportunities and processes are inclusive of students</w:t>
            </w:r>
            <w:r w:rsidR="001E4F5C">
              <w:t>'</w:t>
            </w:r>
            <w:r w:rsidRPr="00D6558D">
              <w:t xml:space="preserve"> characteristics and responsive to the diversity of each provider</w:t>
            </w:r>
            <w:r w:rsidR="001E4F5C">
              <w:t>'</w:t>
            </w:r>
            <w:r w:rsidRPr="00D6558D">
              <w:t>s student population. They involve student representative bodies, where applicable.</w:t>
            </w:r>
          </w:p>
          <w:p w14:paraId="628D7F59" w14:textId="77777777" w:rsidR="004853BB" w:rsidRPr="00D6558D" w:rsidRDefault="004853BB" w:rsidP="00D6558D">
            <w:pPr>
              <w:pStyle w:val="BulletedList"/>
            </w:pPr>
            <w:r w:rsidRPr="00D6558D">
              <w:t>Providers and student representative bodies, where such bodies are in place, recognise and celebrate the contribution of students to the enhancement of teaching and learning and the wider student experience.</w:t>
            </w:r>
          </w:p>
          <w:p w14:paraId="22C66813" w14:textId="77777777" w:rsidR="009934AC" w:rsidRPr="003E75FF" w:rsidRDefault="00D3256A" w:rsidP="00D6558D">
            <w:pPr>
              <w:pStyle w:val="BulletedList"/>
              <w:rPr>
                <w:sz w:val="20"/>
              </w:rPr>
            </w:pPr>
            <w:r w:rsidRPr="00D6558D">
              <w:t>S</w:t>
            </w:r>
            <w:r w:rsidR="004853BB" w:rsidRPr="00D6558D">
              <w:t>tudents are enabled and encouraged to engage actively in the academic governance and enhancement of the wider student experience beyond the formal curriculum</w:t>
            </w:r>
            <w:r w:rsidRPr="00D6558D">
              <w:t>.</w:t>
            </w:r>
          </w:p>
          <w:p w14:paraId="59E87E88" w14:textId="7E5B7011" w:rsidR="003E75FF" w:rsidRPr="00D3256A" w:rsidRDefault="003E75FF" w:rsidP="003E75FF">
            <w:pPr>
              <w:pStyle w:val="BulletedList"/>
              <w:numPr>
                <w:ilvl w:val="0"/>
                <w:numId w:val="0"/>
              </w:numPr>
              <w:ind w:left="567"/>
              <w:rPr>
                <w:sz w:val="20"/>
              </w:rPr>
            </w:pPr>
          </w:p>
        </w:tc>
      </w:tr>
    </w:tbl>
    <w:p w14:paraId="4E3D5516" w14:textId="77777777" w:rsidR="00946F64" w:rsidRDefault="00946F64">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3E75FF" w:rsidRPr="00DB3851" w14:paraId="499A80E5" w14:textId="77777777" w:rsidTr="006711AB">
        <w:trPr>
          <w:trHeight w:val="567"/>
        </w:trPr>
        <w:tc>
          <w:tcPr>
            <w:tcW w:w="14312" w:type="dxa"/>
            <w:shd w:val="clear" w:color="auto" w:fill="C6EAB8"/>
          </w:tcPr>
          <w:p w14:paraId="015F8C6A" w14:textId="39D8934C" w:rsidR="003E75FF" w:rsidRPr="003E75FF" w:rsidRDefault="003E75FF" w:rsidP="008D38DC">
            <w:pPr>
              <w:pStyle w:val="QAAnormal"/>
              <w:ind w:right="1134"/>
              <w:rPr>
                <w:rFonts w:cs="Arial"/>
                <w:b/>
                <w:bCs/>
                <w:color w:val="000000" w:themeColor="text1"/>
                <w:sz w:val="24"/>
                <w:szCs w:val="24"/>
              </w:rPr>
            </w:pPr>
            <w:r w:rsidRPr="003E75FF">
              <w:rPr>
                <w:rFonts w:cs="Arial"/>
                <w:b/>
                <w:bCs/>
                <w:color w:val="000000" w:themeColor="text1"/>
                <w:sz w:val="24"/>
                <w:szCs w:val="24"/>
              </w:rPr>
              <w:lastRenderedPageBreak/>
              <w:t>Part 1</w:t>
            </w:r>
          </w:p>
        </w:tc>
      </w:tr>
      <w:tr w:rsidR="009934AC" w:rsidRPr="00DB3851" w14:paraId="4D27599F" w14:textId="77777777" w:rsidTr="003E75FF">
        <w:trPr>
          <w:trHeight w:val="1839"/>
        </w:trPr>
        <w:tc>
          <w:tcPr>
            <w:tcW w:w="14312" w:type="dxa"/>
            <w:shd w:val="clear" w:color="auto" w:fill="auto"/>
          </w:tcPr>
          <w:p w14:paraId="1B412639" w14:textId="4A33349A" w:rsidR="009934AC" w:rsidRPr="00B378D0" w:rsidRDefault="00AB3BDF" w:rsidP="008D38DC">
            <w:pPr>
              <w:pStyle w:val="QAAnormal"/>
              <w:ind w:right="1134"/>
              <w:rPr>
                <w:rFonts w:cs="Arial"/>
                <w:b/>
                <w:bCs/>
                <w:color w:val="000000" w:themeColor="text1"/>
              </w:rPr>
            </w:pPr>
            <w:r w:rsidRPr="00B378D0">
              <w:rPr>
                <w:rFonts w:cs="Arial"/>
                <w:b/>
                <w:bCs/>
                <w:color w:val="000000" w:themeColor="text1"/>
              </w:rPr>
              <w:t>List</w:t>
            </w:r>
            <w:r w:rsidR="008D38DC" w:rsidRPr="00B378D0">
              <w:rPr>
                <w:rFonts w:cs="Arial"/>
                <w:b/>
                <w:bCs/>
                <w:color w:val="000000" w:themeColor="text1"/>
              </w:rPr>
              <w:t xml:space="preserve"> the evidence you believe </w:t>
            </w:r>
            <w:r w:rsidR="009934AC" w:rsidRPr="00B378D0">
              <w:rPr>
                <w:rFonts w:cs="Arial"/>
                <w:b/>
                <w:bCs/>
                <w:color w:val="000000" w:themeColor="text1"/>
              </w:rPr>
              <w:t>will assist the review team in making a judgement on whether you demonstrate adherence to Se</w:t>
            </w:r>
            <w:r w:rsidR="009934AC" w:rsidRPr="00B378D0">
              <w:rPr>
                <w:b/>
                <w:bCs/>
                <w:color w:val="000000" w:themeColor="text1"/>
              </w:rPr>
              <w:t xml:space="preserve">ctor-Agreed Principle </w:t>
            </w:r>
            <w:r w:rsidR="00D3256A" w:rsidRPr="00B378D0">
              <w:rPr>
                <w:b/>
                <w:bCs/>
                <w:color w:val="000000" w:themeColor="text1"/>
              </w:rPr>
              <w:t>2</w:t>
            </w:r>
            <w:r w:rsidR="009934AC" w:rsidRPr="00B378D0">
              <w:rPr>
                <w:rFonts w:cs="Arial"/>
                <w:b/>
                <w:bCs/>
                <w:color w:val="000000" w:themeColor="text1"/>
              </w:rPr>
              <w:t>.</w:t>
            </w:r>
            <w:r w:rsidR="009934AC" w:rsidRPr="00B378D0">
              <w:rPr>
                <w:b/>
                <w:bCs/>
                <w:color w:val="000000" w:themeColor="text1"/>
              </w:rPr>
              <w:t xml:space="preserve"> </w:t>
            </w:r>
          </w:p>
          <w:p w14:paraId="2D641F24" w14:textId="77777777" w:rsidR="009934AC" w:rsidRDefault="009934AC" w:rsidP="00D41B55">
            <w:pPr>
              <w:pStyle w:val="QAAnormal"/>
              <w:ind w:right="1134"/>
              <w:rPr>
                <w:rFonts w:cs="Arial"/>
                <w:color w:val="000000" w:themeColor="text1"/>
              </w:rPr>
            </w:pPr>
          </w:p>
          <w:p w14:paraId="63CE73F7" w14:textId="7C0EA84A" w:rsidR="009934AC" w:rsidRDefault="00B45D5E" w:rsidP="00B45D5E">
            <w:pPr>
              <w:pStyle w:val="QAAnormal"/>
              <w:ind w:right="460"/>
              <w:rPr>
                <w:rFonts w:cs="Arial"/>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0243C22C" w14:textId="77777777" w:rsidR="009934AC" w:rsidRDefault="009934AC" w:rsidP="00D41B55">
            <w:pPr>
              <w:pStyle w:val="QAAnormal"/>
              <w:ind w:right="1134"/>
              <w:rPr>
                <w:rFonts w:cs="Arial"/>
                <w:color w:val="000000" w:themeColor="text1"/>
              </w:rPr>
            </w:pPr>
          </w:p>
          <w:p w14:paraId="7C7CB3A0" w14:textId="77777777" w:rsidR="009934AC" w:rsidRDefault="009934AC" w:rsidP="00D41B55">
            <w:pPr>
              <w:pStyle w:val="QAAnormal"/>
              <w:ind w:right="1134"/>
              <w:rPr>
                <w:rFonts w:cs="Arial"/>
                <w:color w:val="000000" w:themeColor="text1"/>
              </w:rPr>
            </w:pPr>
          </w:p>
          <w:p w14:paraId="5703F052" w14:textId="77777777" w:rsidR="009934AC" w:rsidRPr="70FB7DD3" w:rsidRDefault="009934AC" w:rsidP="00D41B55">
            <w:pPr>
              <w:pStyle w:val="QAAnormal"/>
              <w:ind w:right="1134"/>
              <w:rPr>
                <w:rFonts w:cs="Arial"/>
                <w:color w:val="000000" w:themeColor="text1"/>
              </w:rPr>
            </w:pPr>
          </w:p>
        </w:tc>
      </w:tr>
      <w:tr w:rsidR="00311791" w:rsidRPr="00DB3851" w14:paraId="73E14EA8" w14:textId="77777777" w:rsidTr="006711AB">
        <w:trPr>
          <w:trHeight w:val="567"/>
        </w:trPr>
        <w:tc>
          <w:tcPr>
            <w:tcW w:w="14312" w:type="dxa"/>
            <w:shd w:val="clear" w:color="auto" w:fill="C6EAB8"/>
          </w:tcPr>
          <w:p w14:paraId="2953188B" w14:textId="09B4BF18" w:rsidR="00311791" w:rsidRPr="003E75FF" w:rsidRDefault="003E75FF" w:rsidP="008D38DC">
            <w:pPr>
              <w:pStyle w:val="QAAnormal"/>
              <w:ind w:right="1134"/>
              <w:rPr>
                <w:rFonts w:cs="Arial"/>
                <w:b/>
                <w:bCs/>
                <w:color w:val="000000" w:themeColor="text1"/>
                <w:sz w:val="24"/>
                <w:szCs w:val="24"/>
              </w:rPr>
            </w:pPr>
            <w:r w:rsidRPr="003E75FF">
              <w:rPr>
                <w:rFonts w:cs="Arial"/>
                <w:b/>
                <w:bCs/>
                <w:color w:val="000000" w:themeColor="text1"/>
                <w:sz w:val="24"/>
                <w:szCs w:val="24"/>
              </w:rPr>
              <w:t>Part 2</w:t>
            </w:r>
          </w:p>
        </w:tc>
      </w:tr>
      <w:tr w:rsidR="008D38DC" w:rsidRPr="00DB3851" w14:paraId="374EAA69" w14:textId="77777777" w:rsidTr="003E75FF">
        <w:trPr>
          <w:trHeight w:val="1975"/>
        </w:trPr>
        <w:tc>
          <w:tcPr>
            <w:tcW w:w="14312" w:type="dxa"/>
            <w:shd w:val="clear" w:color="auto" w:fill="auto"/>
          </w:tcPr>
          <w:p w14:paraId="25BC28BD" w14:textId="55BD660E" w:rsidR="008D38DC" w:rsidRPr="00B378D0" w:rsidRDefault="008D38DC" w:rsidP="00DD0ABF">
            <w:pPr>
              <w:pStyle w:val="QAAnormal"/>
              <w:ind w:right="454"/>
              <w:rPr>
                <w:b/>
                <w:bCs/>
              </w:rPr>
            </w:pPr>
            <w:r w:rsidRPr="00B378D0">
              <w:rPr>
                <w:b/>
                <w:bCs/>
              </w:rPr>
              <w:t>Highlight which parts of your evidence submission (listed in</w:t>
            </w:r>
            <w:r w:rsidR="00C84BA5">
              <w:rPr>
                <w:b/>
                <w:bCs/>
              </w:rPr>
              <w:t xml:space="preserve"> Part 1</w:t>
            </w:r>
            <w:r w:rsidRPr="00B378D0">
              <w:rPr>
                <w:b/>
                <w:bCs/>
              </w:rPr>
              <w:t xml:space="preserve"> </w:t>
            </w:r>
            <w:r w:rsidR="00160EF0" w:rsidRPr="00B378D0">
              <w:rPr>
                <w:b/>
                <w:bCs/>
              </w:rPr>
              <w:t>above</w:t>
            </w:r>
            <w:r w:rsidRPr="00B378D0">
              <w:rPr>
                <w:b/>
                <w:bCs/>
              </w:rPr>
              <w:t>) the review team may wish to consider when forming a judgement as to whether you demonstrate adherence to Sector-Agreed Principle 2. Where applicable, include references to specific parts, sections or paragraphs of documents.</w:t>
            </w:r>
          </w:p>
          <w:p w14:paraId="763CB70D" w14:textId="77777777" w:rsidR="00B45D5E" w:rsidRDefault="00B45D5E" w:rsidP="008D38DC">
            <w:pPr>
              <w:pStyle w:val="QAAnormal"/>
              <w:ind w:right="1134"/>
            </w:pPr>
          </w:p>
          <w:p w14:paraId="12476157" w14:textId="77777777" w:rsidR="00B45D5E" w:rsidRDefault="00B45D5E" w:rsidP="00B45D5E">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7F77F067" w14:textId="612B61FC" w:rsidR="00B45D5E" w:rsidRPr="00C96FB2" w:rsidRDefault="00B45D5E" w:rsidP="008D38DC">
            <w:pPr>
              <w:pStyle w:val="QAAnormal"/>
              <w:ind w:right="1134"/>
              <w:rPr>
                <w:rFonts w:cs="Arial"/>
                <w:b/>
                <w:bCs/>
                <w:color w:val="000000" w:themeColor="text1"/>
              </w:rPr>
            </w:pPr>
          </w:p>
        </w:tc>
      </w:tr>
      <w:tr w:rsidR="00311791" w:rsidRPr="00DB3851" w14:paraId="31A268FF" w14:textId="77777777" w:rsidTr="006711AB">
        <w:trPr>
          <w:trHeight w:val="567"/>
        </w:trPr>
        <w:tc>
          <w:tcPr>
            <w:tcW w:w="14312" w:type="dxa"/>
            <w:shd w:val="clear" w:color="auto" w:fill="C6EAB8"/>
          </w:tcPr>
          <w:p w14:paraId="2F88E413" w14:textId="3A409C84" w:rsidR="00311791" w:rsidRPr="003E75FF" w:rsidRDefault="003E75FF" w:rsidP="008D38DC">
            <w:pPr>
              <w:pStyle w:val="QAAnormal"/>
              <w:ind w:right="1134"/>
              <w:rPr>
                <w:rFonts w:cs="Arial"/>
                <w:b/>
                <w:bCs/>
                <w:color w:val="000000" w:themeColor="text1"/>
                <w:sz w:val="24"/>
                <w:szCs w:val="24"/>
              </w:rPr>
            </w:pPr>
            <w:r w:rsidRPr="003E75FF">
              <w:rPr>
                <w:rFonts w:cs="Arial"/>
                <w:b/>
                <w:bCs/>
                <w:color w:val="000000" w:themeColor="text1"/>
                <w:sz w:val="24"/>
                <w:szCs w:val="24"/>
              </w:rPr>
              <w:t>Part 3</w:t>
            </w:r>
          </w:p>
        </w:tc>
      </w:tr>
      <w:tr w:rsidR="008D38DC" w:rsidRPr="00DB3851" w14:paraId="44F10A64" w14:textId="77777777" w:rsidTr="003E75FF">
        <w:trPr>
          <w:trHeight w:val="1839"/>
        </w:trPr>
        <w:tc>
          <w:tcPr>
            <w:tcW w:w="14312" w:type="dxa"/>
            <w:shd w:val="clear" w:color="auto" w:fill="auto"/>
          </w:tcPr>
          <w:p w14:paraId="7587DFFF" w14:textId="77777777" w:rsidR="008D38DC" w:rsidRPr="00B378D0" w:rsidRDefault="008D38DC" w:rsidP="008D38DC">
            <w:pPr>
              <w:pStyle w:val="QAAnormal"/>
              <w:ind w:right="1134"/>
              <w:rPr>
                <w:b/>
                <w:bCs/>
                <w:color w:val="000000" w:themeColor="text1"/>
              </w:rPr>
            </w:pPr>
            <w:r w:rsidRPr="00B378D0">
              <w:rPr>
                <w:b/>
                <w:bCs/>
                <w:color w:val="000000" w:themeColor="text1"/>
              </w:rPr>
              <w:t>Detail why you consider this evidence demonstrates that you adhere to Sector-Agreed Principle 2.</w:t>
            </w:r>
          </w:p>
          <w:p w14:paraId="0B7F2880" w14:textId="77777777" w:rsidR="00B45D5E" w:rsidRDefault="00B45D5E" w:rsidP="008D38DC">
            <w:pPr>
              <w:pStyle w:val="QAAnormal"/>
              <w:ind w:right="1134"/>
              <w:rPr>
                <w:color w:val="000000" w:themeColor="text1"/>
              </w:rPr>
            </w:pPr>
          </w:p>
          <w:p w14:paraId="284160D6" w14:textId="77777777" w:rsidR="00B45D5E" w:rsidRDefault="00B45D5E" w:rsidP="00B45D5E">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1F741FB4" w14:textId="7E997D78" w:rsidR="00B45D5E" w:rsidRPr="00D6558D" w:rsidRDefault="00B45D5E" w:rsidP="008D38DC">
            <w:pPr>
              <w:pStyle w:val="QAAnormal"/>
              <w:ind w:right="1134"/>
              <w:rPr>
                <w:rFonts w:cs="Arial"/>
                <w:b/>
                <w:bCs/>
                <w:color w:val="000000" w:themeColor="text1"/>
              </w:rPr>
            </w:pPr>
          </w:p>
        </w:tc>
      </w:tr>
    </w:tbl>
    <w:p w14:paraId="694BEA1B" w14:textId="5E011574" w:rsidR="009934AC" w:rsidRDefault="009934AC" w:rsidP="009934AC">
      <w:pPr>
        <w:rPr>
          <w:i/>
          <w:iCs/>
          <w:sz w:val="20"/>
        </w:rPr>
      </w:pPr>
      <w:r w:rsidRPr="4CD64A79">
        <w:rPr>
          <w:i/>
          <w:iCs/>
          <w:sz w:val="20"/>
        </w:rPr>
        <w:t xml:space="preserve">The table above will expand accordingly </w:t>
      </w:r>
      <w:r w:rsidR="00B73D24">
        <w:rPr>
          <w:i/>
          <w:iCs/>
          <w:sz w:val="20"/>
        </w:rPr>
        <w:t>-</w:t>
      </w:r>
      <w:r w:rsidRPr="4CD64A79">
        <w:rPr>
          <w:i/>
          <w:iCs/>
          <w:sz w:val="20"/>
        </w:rPr>
        <w:t xml:space="preserve"> the size of the table in this template is not an indicator as to the amount of detail you may provide.</w:t>
      </w:r>
    </w:p>
    <w:bookmarkEnd w:id="12"/>
    <w:p w14:paraId="076BB594" w14:textId="77777777" w:rsidR="003A686A" w:rsidRDefault="003A686A">
      <w:pPr>
        <w:widowControl/>
        <w:spacing w:after="0"/>
      </w:pPr>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3A686A" w:rsidRPr="00DB3851" w14:paraId="4EE9E18D" w14:textId="77777777" w:rsidTr="001E636C">
        <w:trPr>
          <w:trHeight w:val="555"/>
        </w:trPr>
        <w:tc>
          <w:tcPr>
            <w:tcW w:w="14312" w:type="dxa"/>
            <w:shd w:val="clear" w:color="auto" w:fill="C6EAB8"/>
          </w:tcPr>
          <w:p w14:paraId="1EE3DF3B" w14:textId="74FC3F1B" w:rsidR="003A686A" w:rsidRPr="00B378D0" w:rsidRDefault="003A686A" w:rsidP="00B378D0">
            <w:pPr>
              <w:spacing w:before="60" w:after="120"/>
              <w:rPr>
                <w:b/>
                <w:bCs/>
                <w:color w:val="000000" w:themeColor="text1"/>
                <w:sz w:val="24"/>
                <w:szCs w:val="24"/>
              </w:rPr>
            </w:pPr>
            <w:r w:rsidRPr="00B378D0">
              <w:rPr>
                <w:b/>
                <w:bCs/>
                <w:color w:val="000000" w:themeColor="text1"/>
                <w:sz w:val="24"/>
                <w:szCs w:val="24"/>
              </w:rPr>
              <w:lastRenderedPageBreak/>
              <w:t xml:space="preserve">Sector-Agreed Principle </w:t>
            </w:r>
            <w:r w:rsidR="00FF74F4" w:rsidRPr="00B378D0">
              <w:rPr>
                <w:b/>
                <w:bCs/>
                <w:color w:val="000000" w:themeColor="text1"/>
                <w:sz w:val="24"/>
                <w:szCs w:val="24"/>
              </w:rPr>
              <w:t>6</w:t>
            </w:r>
            <w:r w:rsidR="003E7ACF" w:rsidRPr="00B378D0">
              <w:rPr>
                <w:b/>
                <w:bCs/>
                <w:color w:val="000000" w:themeColor="text1"/>
                <w:sz w:val="24"/>
                <w:szCs w:val="24"/>
              </w:rPr>
              <w:t>:</w:t>
            </w:r>
            <w:r w:rsidRPr="00B378D0">
              <w:rPr>
                <w:b/>
                <w:bCs/>
                <w:color w:val="000000" w:themeColor="text1"/>
                <w:sz w:val="24"/>
                <w:szCs w:val="24"/>
              </w:rPr>
              <w:t xml:space="preserve"> Engaging </w:t>
            </w:r>
            <w:r w:rsidR="00FF74F4" w:rsidRPr="00B378D0">
              <w:rPr>
                <w:b/>
                <w:bCs/>
                <w:color w:val="000000" w:themeColor="text1"/>
                <w:sz w:val="24"/>
                <w:szCs w:val="24"/>
              </w:rPr>
              <w:t xml:space="preserve">in external </w:t>
            </w:r>
            <w:r w:rsidRPr="00B378D0">
              <w:rPr>
                <w:b/>
                <w:bCs/>
                <w:color w:val="000000" w:themeColor="text1"/>
                <w:sz w:val="24"/>
                <w:szCs w:val="24"/>
              </w:rPr>
              <w:t>r</w:t>
            </w:r>
            <w:r w:rsidR="00FF74F4" w:rsidRPr="00B378D0">
              <w:rPr>
                <w:b/>
                <w:bCs/>
                <w:color w:val="000000" w:themeColor="text1"/>
                <w:sz w:val="24"/>
                <w:szCs w:val="24"/>
              </w:rPr>
              <w:t>eview and accreditation</w:t>
            </w:r>
          </w:p>
          <w:p w14:paraId="2D39B4C7" w14:textId="2559E54D" w:rsidR="003E7ACF" w:rsidRDefault="003E7ACF" w:rsidP="00D41B55">
            <w:pPr>
              <w:spacing w:before="60" w:after="60"/>
              <w:rPr>
                <w:b/>
                <w:bCs/>
                <w:color w:val="000000" w:themeColor="text1"/>
              </w:rPr>
            </w:pPr>
            <w:r w:rsidRPr="00FF5144">
              <w:rPr>
                <w:i/>
                <w:iCs/>
                <w:szCs w:val="22"/>
              </w:rPr>
              <w:t xml:space="preserve">Providers </w:t>
            </w:r>
            <w:r w:rsidRPr="00FF5144">
              <w:rPr>
                <w:rFonts w:cs="Arial"/>
                <w:i/>
                <w:iCs/>
                <w:szCs w:val="22"/>
              </w:rPr>
              <w:t>engage with external reviews to give assurance about the effectiveness of their approach to managing quality and standards. External reviews offer insights about the comparability of providers</w:t>
            </w:r>
            <w:r>
              <w:rPr>
                <w:rFonts w:cs="Arial"/>
                <w:i/>
                <w:iCs/>
                <w:szCs w:val="22"/>
              </w:rPr>
              <w:t>'</w:t>
            </w:r>
            <w:r w:rsidRPr="00FF5144">
              <w:rPr>
                <w:rFonts w:cs="Arial"/>
                <w:i/>
                <w:iCs/>
                <w:szCs w:val="22"/>
              </w:rPr>
              <w:t xml:space="preserve"> approaches and generate outcomes that providers can use to enhance their policies and practices. Reviews may be commissioned by providers, form part of a national quality framework or linked to professional recognition and actively include staff, </w:t>
            </w:r>
            <w:proofErr w:type="gramStart"/>
            <w:r w:rsidRPr="00FF5144">
              <w:rPr>
                <w:rFonts w:cs="Arial"/>
                <w:i/>
                <w:iCs/>
                <w:szCs w:val="22"/>
              </w:rPr>
              <w:t>students</w:t>
            </w:r>
            <w:proofErr w:type="gramEnd"/>
            <w:r w:rsidRPr="00FF5144">
              <w:rPr>
                <w:rFonts w:cs="Arial"/>
                <w:i/>
                <w:iCs/>
                <w:szCs w:val="22"/>
              </w:rPr>
              <w:t xml:space="preserve"> and peers. They can be undertaken by representative organisations, </w:t>
            </w:r>
            <w:proofErr w:type="gramStart"/>
            <w:r w:rsidRPr="00FF5144">
              <w:rPr>
                <w:rFonts w:cs="Arial"/>
                <w:i/>
                <w:iCs/>
                <w:szCs w:val="22"/>
              </w:rPr>
              <w:t>agencies</w:t>
            </w:r>
            <w:proofErr w:type="gramEnd"/>
            <w:r w:rsidRPr="00FF5144">
              <w:rPr>
                <w:rFonts w:cs="Arial"/>
                <w:i/>
                <w:iCs/>
                <w:szCs w:val="22"/>
              </w:rPr>
              <w:t xml:space="preserve"> or professional, statutory and regulatory bodies (PSRBs) with recognised sector expertise according to the provision being reviewed.</w:t>
            </w:r>
          </w:p>
          <w:p w14:paraId="7BDFAC82" w14:textId="1AE02BEE" w:rsidR="003E7ACF" w:rsidRPr="00DB3851" w:rsidRDefault="003E7ACF" w:rsidP="00D41B55">
            <w:pPr>
              <w:spacing w:before="60" w:after="60"/>
              <w:rPr>
                <w:rFonts w:eastAsia="Arial"/>
                <w:b/>
                <w:color w:val="FFFFFF" w:themeColor="background1"/>
                <w:szCs w:val="22"/>
              </w:rPr>
            </w:pPr>
          </w:p>
        </w:tc>
      </w:tr>
      <w:tr w:rsidR="003A686A" w:rsidRPr="00DB3851" w14:paraId="22ABD49F" w14:textId="77777777" w:rsidTr="00EB3F32">
        <w:trPr>
          <w:trHeight w:val="1839"/>
        </w:trPr>
        <w:tc>
          <w:tcPr>
            <w:tcW w:w="14312" w:type="dxa"/>
            <w:shd w:val="clear" w:color="auto" w:fill="auto"/>
          </w:tcPr>
          <w:p w14:paraId="6CF1EF94" w14:textId="77777777" w:rsidR="003A686A" w:rsidRDefault="003A686A" w:rsidP="00D41B55">
            <w:pPr>
              <w:pStyle w:val="Header"/>
              <w:spacing w:before="60" w:after="60"/>
              <w:rPr>
                <w:b/>
                <w:bCs/>
                <w:color w:val="000000" w:themeColor="text1"/>
                <w:szCs w:val="22"/>
              </w:rPr>
            </w:pPr>
            <w:r w:rsidRPr="00FB5D34">
              <w:rPr>
                <w:b/>
                <w:bCs/>
                <w:color w:val="000000" w:themeColor="text1"/>
                <w:szCs w:val="22"/>
              </w:rPr>
              <w:t>Key Practices</w:t>
            </w:r>
          </w:p>
          <w:p w14:paraId="2B3898C2" w14:textId="77777777" w:rsidR="00075105" w:rsidRDefault="00075105" w:rsidP="00311791">
            <w:pPr>
              <w:pStyle w:val="Header"/>
              <w:spacing w:before="60" w:after="0"/>
              <w:rPr>
                <w:b/>
                <w:bCs/>
                <w:color w:val="000000" w:themeColor="text1"/>
                <w:szCs w:val="22"/>
              </w:rPr>
            </w:pPr>
          </w:p>
          <w:p w14:paraId="106DA53C" w14:textId="0E7A1B4E" w:rsidR="00B84E13" w:rsidRPr="00D6558D" w:rsidRDefault="00B84E13" w:rsidP="00645AE2">
            <w:pPr>
              <w:pStyle w:val="BulletedList"/>
              <w:numPr>
                <w:ilvl w:val="0"/>
                <w:numId w:val="27"/>
              </w:numPr>
              <w:ind w:left="567" w:hanging="567"/>
            </w:pPr>
            <w:r w:rsidRPr="00D6558D">
              <w:t>External review, whether optional or required by national quality frameworks or accrediting bodies, is built into the provider</w:t>
            </w:r>
            <w:r w:rsidR="001E4F5C">
              <w:t>'</w:t>
            </w:r>
            <w:r w:rsidRPr="00D6558D">
              <w:t xml:space="preserve">s strategic </w:t>
            </w:r>
            <w:proofErr w:type="gramStart"/>
            <w:r w:rsidRPr="00D6558D">
              <w:t>approach</w:t>
            </w:r>
            <w:proofErr w:type="gramEnd"/>
            <w:r w:rsidRPr="00D6558D">
              <w:t xml:space="preserve"> and aligns to internal quality and standards monitoring and evaluation activity.</w:t>
            </w:r>
          </w:p>
          <w:p w14:paraId="5968AE43" w14:textId="77777777" w:rsidR="00B84E13" w:rsidRPr="00D6558D" w:rsidRDefault="00B84E13" w:rsidP="00D6558D">
            <w:pPr>
              <w:pStyle w:val="BulletedList"/>
            </w:pPr>
            <w:r w:rsidRPr="00D6558D">
              <w:t xml:space="preserve">Providers use outcomes from external review and accreditation as a catalyst for ongoing improvement and strategic enhancement of the student learning experience. </w:t>
            </w:r>
          </w:p>
          <w:p w14:paraId="1FF21469" w14:textId="77777777" w:rsidR="00B84E13" w:rsidRPr="00D6558D" w:rsidRDefault="00B84E13" w:rsidP="00D6558D">
            <w:pPr>
              <w:pStyle w:val="BulletedList"/>
            </w:pPr>
            <w:r w:rsidRPr="00D6558D">
              <w:t>Providers acknowledge and support the expertise and resource required to participate in external review and accreditation.</w:t>
            </w:r>
          </w:p>
          <w:p w14:paraId="2505D258" w14:textId="77777777" w:rsidR="00B84E13" w:rsidRPr="00D6558D" w:rsidRDefault="00B84E13" w:rsidP="00D6558D">
            <w:pPr>
              <w:pStyle w:val="BulletedList"/>
            </w:pPr>
            <w:r w:rsidRPr="00D6558D">
              <w:t>Providers who engage in external review understand the UK national regulatory and legislative contexts in which they operate and the different approaches, forms and focus they may take. Providers may engage colleagues with international expertise, in addition to those familiar with UK requirements.</w:t>
            </w:r>
          </w:p>
          <w:p w14:paraId="71E22BDD" w14:textId="77777777" w:rsidR="003A686A" w:rsidRDefault="00B84E13" w:rsidP="00D6558D">
            <w:pPr>
              <w:pStyle w:val="BulletedList"/>
              <w:rPr>
                <w:sz w:val="20"/>
              </w:rPr>
            </w:pPr>
            <w:r w:rsidRPr="00D6558D">
              <w:t>Providers understand the requirements and process for external reviews that may be required by regulators in partner delivery locations</w:t>
            </w:r>
            <w:r w:rsidR="005F3880">
              <w:rPr>
                <w:sz w:val="20"/>
              </w:rPr>
              <w:t>.</w:t>
            </w:r>
          </w:p>
          <w:p w14:paraId="4A57BAF3" w14:textId="54100599" w:rsidR="00075105" w:rsidRPr="005F3880" w:rsidRDefault="00075105" w:rsidP="00075105">
            <w:pPr>
              <w:pStyle w:val="BulletedList"/>
              <w:numPr>
                <w:ilvl w:val="0"/>
                <w:numId w:val="0"/>
              </w:numPr>
              <w:ind w:left="567"/>
              <w:rPr>
                <w:sz w:val="20"/>
              </w:rPr>
            </w:pPr>
          </w:p>
        </w:tc>
      </w:tr>
      <w:tr w:rsidR="00075105" w:rsidRPr="00DB3851" w14:paraId="3E1F6C5E" w14:textId="77777777" w:rsidTr="006711AB">
        <w:trPr>
          <w:trHeight w:val="567"/>
        </w:trPr>
        <w:tc>
          <w:tcPr>
            <w:tcW w:w="14312" w:type="dxa"/>
            <w:shd w:val="clear" w:color="auto" w:fill="C6EAB8"/>
          </w:tcPr>
          <w:p w14:paraId="10984F1B" w14:textId="34948FFE" w:rsidR="00075105" w:rsidRPr="00075105" w:rsidRDefault="00075105" w:rsidP="008D38DC">
            <w:pPr>
              <w:pStyle w:val="QAAnormal"/>
              <w:ind w:right="1134"/>
              <w:rPr>
                <w:rFonts w:cs="Arial"/>
                <w:b/>
                <w:bCs/>
                <w:color w:val="000000" w:themeColor="text1"/>
                <w:sz w:val="24"/>
                <w:szCs w:val="24"/>
              </w:rPr>
            </w:pPr>
            <w:r w:rsidRPr="00075105">
              <w:rPr>
                <w:rFonts w:cs="Arial"/>
                <w:b/>
                <w:bCs/>
                <w:color w:val="000000" w:themeColor="text1"/>
                <w:sz w:val="24"/>
                <w:szCs w:val="24"/>
              </w:rPr>
              <w:t>Part 1</w:t>
            </w:r>
          </w:p>
        </w:tc>
      </w:tr>
      <w:tr w:rsidR="003A686A" w:rsidRPr="00DB3851" w14:paraId="3529A305" w14:textId="77777777" w:rsidTr="00075105">
        <w:trPr>
          <w:trHeight w:val="1839"/>
        </w:trPr>
        <w:tc>
          <w:tcPr>
            <w:tcW w:w="14312" w:type="dxa"/>
            <w:shd w:val="clear" w:color="auto" w:fill="auto"/>
          </w:tcPr>
          <w:p w14:paraId="24B58A9E" w14:textId="717F5C54" w:rsidR="003A686A" w:rsidRPr="00B378D0" w:rsidRDefault="00AB3BDF" w:rsidP="008D38DC">
            <w:pPr>
              <w:pStyle w:val="QAAnormal"/>
              <w:ind w:right="1134"/>
              <w:rPr>
                <w:rFonts w:cs="Arial"/>
                <w:b/>
                <w:bCs/>
                <w:color w:val="000000" w:themeColor="text1"/>
              </w:rPr>
            </w:pPr>
            <w:r w:rsidRPr="00B378D0">
              <w:rPr>
                <w:rFonts w:cs="Arial"/>
                <w:b/>
                <w:bCs/>
                <w:color w:val="000000" w:themeColor="text1"/>
              </w:rPr>
              <w:t>List</w:t>
            </w:r>
            <w:r w:rsidR="008D38DC" w:rsidRPr="00B378D0">
              <w:rPr>
                <w:rFonts w:cs="Arial"/>
                <w:b/>
                <w:bCs/>
                <w:color w:val="000000" w:themeColor="text1"/>
              </w:rPr>
              <w:t xml:space="preserve"> the evidence you believe</w:t>
            </w:r>
            <w:r w:rsidR="003A686A" w:rsidRPr="00B378D0">
              <w:rPr>
                <w:rFonts w:cs="Arial"/>
                <w:b/>
                <w:bCs/>
                <w:color w:val="000000" w:themeColor="text1"/>
              </w:rPr>
              <w:t xml:space="preserve"> will assist the review team in making a judgement on whether you demonstrate adherence to Se</w:t>
            </w:r>
            <w:r w:rsidR="003A686A" w:rsidRPr="00B378D0">
              <w:rPr>
                <w:b/>
                <w:bCs/>
                <w:color w:val="000000" w:themeColor="text1"/>
              </w:rPr>
              <w:t xml:space="preserve">ctor-Agreed Principle </w:t>
            </w:r>
            <w:r w:rsidR="00FF5144" w:rsidRPr="00B378D0">
              <w:rPr>
                <w:b/>
                <w:bCs/>
                <w:color w:val="000000" w:themeColor="text1"/>
              </w:rPr>
              <w:t>6</w:t>
            </w:r>
            <w:r w:rsidR="003A686A" w:rsidRPr="00B378D0">
              <w:rPr>
                <w:rFonts w:cs="Arial"/>
                <w:b/>
                <w:bCs/>
                <w:color w:val="000000" w:themeColor="text1"/>
              </w:rPr>
              <w:t>.</w:t>
            </w:r>
            <w:r w:rsidR="003A686A" w:rsidRPr="00B378D0">
              <w:rPr>
                <w:b/>
                <w:bCs/>
                <w:color w:val="000000" w:themeColor="text1"/>
              </w:rPr>
              <w:t xml:space="preserve"> </w:t>
            </w:r>
          </w:p>
          <w:p w14:paraId="63939621" w14:textId="77777777" w:rsidR="003A686A" w:rsidRDefault="003A686A" w:rsidP="00D41B55">
            <w:pPr>
              <w:pStyle w:val="QAAnormal"/>
              <w:ind w:right="1134"/>
              <w:rPr>
                <w:rFonts w:cs="Arial"/>
                <w:color w:val="000000" w:themeColor="text1"/>
              </w:rPr>
            </w:pPr>
          </w:p>
          <w:p w14:paraId="118B306B" w14:textId="77777777" w:rsidR="00B45D5E" w:rsidRDefault="00B45D5E" w:rsidP="00B45D5E">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4DC5B7D1" w14:textId="77777777" w:rsidR="003A686A" w:rsidRPr="70FB7DD3" w:rsidRDefault="003A686A" w:rsidP="00D41B55">
            <w:pPr>
              <w:pStyle w:val="QAAnormal"/>
              <w:ind w:right="1134"/>
              <w:rPr>
                <w:rFonts w:cs="Arial"/>
                <w:color w:val="000000" w:themeColor="text1"/>
              </w:rPr>
            </w:pPr>
          </w:p>
        </w:tc>
      </w:tr>
    </w:tbl>
    <w:p w14:paraId="3E878A86" w14:textId="77777777" w:rsidR="003E7ACF" w:rsidRDefault="003E7ACF">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075105" w:rsidRPr="00DB3851" w14:paraId="0AC77BE9" w14:textId="77777777" w:rsidTr="006711AB">
        <w:trPr>
          <w:trHeight w:val="567"/>
        </w:trPr>
        <w:tc>
          <w:tcPr>
            <w:tcW w:w="14312" w:type="dxa"/>
            <w:shd w:val="clear" w:color="auto" w:fill="C6EAB8"/>
          </w:tcPr>
          <w:p w14:paraId="0C072FF5" w14:textId="116A8546" w:rsidR="00075105" w:rsidRPr="00075105" w:rsidRDefault="00075105" w:rsidP="008D38DC">
            <w:pPr>
              <w:pStyle w:val="QAAnormal"/>
              <w:ind w:right="1134"/>
              <w:rPr>
                <w:rFonts w:cs="Arial"/>
                <w:b/>
                <w:bCs/>
                <w:color w:val="000000" w:themeColor="text1"/>
                <w:sz w:val="24"/>
                <w:szCs w:val="24"/>
              </w:rPr>
            </w:pPr>
            <w:r w:rsidRPr="00075105">
              <w:rPr>
                <w:rFonts w:cs="Arial"/>
                <w:b/>
                <w:bCs/>
                <w:color w:val="000000" w:themeColor="text1"/>
                <w:sz w:val="24"/>
                <w:szCs w:val="24"/>
              </w:rPr>
              <w:lastRenderedPageBreak/>
              <w:t>Part 2</w:t>
            </w:r>
          </w:p>
        </w:tc>
      </w:tr>
      <w:tr w:rsidR="008D38DC" w:rsidRPr="00DB3851" w14:paraId="324760EB" w14:textId="77777777" w:rsidTr="00075105">
        <w:trPr>
          <w:trHeight w:val="1839"/>
        </w:trPr>
        <w:tc>
          <w:tcPr>
            <w:tcW w:w="14312" w:type="dxa"/>
            <w:shd w:val="clear" w:color="auto" w:fill="auto"/>
          </w:tcPr>
          <w:p w14:paraId="4526ECCE" w14:textId="2ACBEE4B" w:rsidR="00650727" w:rsidRPr="00B378D0" w:rsidRDefault="00650727" w:rsidP="00DD0ABF">
            <w:pPr>
              <w:pStyle w:val="QAAnormal"/>
              <w:ind w:right="454"/>
              <w:rPr>
                <w:b/>
                <w:bCs/>
              </w:rPr>
            </w:pPr>
            <w:r w:rsidRPr="00B378D0">
              <w:rPr>
                <w:b/>
                <w:bCs/>
              </w:rPr>
              <w:t>Highlight which parts of your evidence submission (listed in</w:t>
            </w:r>
            <w:r w:rsidR="000854DD">
              <w:rPr>
                <w:b/>
                <w:bCs/>
              </w:rPr>
              <w:t xml:space="preserve"> Part 1</w:t>
            </w:r>
            <w:r w:rsidRPr="00B378D0">
              <w:rPr>
                <w:b/>
                <w:bCs/>
              </w:rPr>
              <w:t xml:space="preserve"> </w:t>
            </w:r>
            <w:r w:rsidR="00160EF0" w:rsidRPr="00B378D0">
              <w:rPr>
                <w:b/>
                <w:bCs/>
              </w:rPr>
              <w:t>above</w:t>
            </w:r>
            <w:r w:rsidRPr="00B378D0">
              <w:rPr>
                <w:b/>
                <w:bCs/>
              </w:rPr>
              <w:t>) the review team may wish to consider when forming a judgement as to whether you demonstrate adherence to Sector-Agreed Principle 6. Where applicable, include references to specific parts, sections or paragraphs of documents.</w:t>
            </w:r>
          </w:p>
          <w:p w14:paraId="10948002" w14:textId="77777777" w:rsidR="00B45D5E" w:rsidRDefault="00B45D5E" w:rsidP="00D41B55">
            <w:pPr>
              <w:pStyle w:val="QAAnormal"/>
              <w:ind w:right="1134"/>
            </w:pPr>
          </w:p>
          <w:p w14:paraId="4A36917F" w14:textId="77777777" w:rsidR="00B45D5E" w:rsidRDefault="00B45D5E" w:rsidP="00B45D5E">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1E194346" w14:textId="77777777" w:rsidR="00B45D5E" w:rsidRDefault="00B45D5E" w:rsidP="00D41B55">
            <w:pPr>
              <w:pStyle w:val="QAAnormal"/>
              <w:ind w:right="1134"/>
            </w:pPr>
          </w:p>
          <w:p w14:paraId="3F3D6B3A" w14:textId="390BCCCE" w:rsidR="00B45D5E" w:rsidRPr="00D6558D" w:rsidRDefault="00B45D5E" w:rsidP="00D41B55">
            <w:pPr>
              <w:pStyle w:val="QAAnormal"/>
              <w:ind w:right="1134"/>
              <w:rPr>
                <w:rFonts w:cs="Arial"/>
                <w:color w:val="000000" w:themeColor="text1"/>
              </w:rPr>
            </w:pPr>
          </w:p>
        </w:tc>
      </w:tr>
      <w:tr w:rsidR="00075105" w:rsidRPr="00DB3851" w14:paraId="2B6F0D46" w14:textId="77777777" w:rsidTr="006711AB">
        <w:trPr>
          <w:trHeight w:val="567"/>
        </w:trPr>
        <w:tc>
          <w:tcPr>
            <w:tcW w:w="14312" w:type="dxa"/>
            <w:shd w:val="clear" w:color="auto" w:fill="C6EAB8"/>
          </w:tcPr>
          <w:p w14:paraId="02F5D167" w14:textId="2D747BCD" w:rsidR="00075105" w:rsidRPr="00075105" w:rsidRDefault="00075105" w:rsidP="008D38DC">
            <w:pPr>
              <w:pStyle w:val="QAAnormal"/>
              <w:ind w:right="1134"/>
              <w:rPr>
                <w:rFonts w:cs="Arial"/>
                <w:b/>
                <w:bCs/>
                <w:color w:val="000000" w:themeColor="text1"/>
                <w:sz w:val="24"/>
                <w:szCs w:val="24"/>
              </w:rPr>
            </w:pPr>
            <w:r w:rsidRPr="00075105">
              <w:rPr>
                <w:rFonts w:cs="Arial"/>
                <w:b/>
                <w:bCs/>
                <w:color w:val="000000" w:themeColor="text1"/>
                <w:sz w:val="24"/>
                <w:szCs w:val="24"/>
              </w:rPr>
              <w:t>Part 3</w:t>
            </w:r>
          </w:p>
        </w:tc>
      </w:tr>
      <w:tr w:rsidR="008D38DC" w:rsidRPr="00DB3851" w14:paraId="4795BCE5" w14:textId="77777777" w:rsidTr="00075105">
        <w:trPr>
          <w:trHeight w:val="1839"/>
        </w:trPr>
        <w:tc>
          <w:tcPr>
            <w:tcW w:w="14312" w:type="dxa"/>
            <w:shd w:val="clear" w:color="auto" w:fill="auto"/>
          </w:tcPr>
          <w:p w14:paraId="1736F592" w14:textId="77777777" w:rsidR="00650727" w:rsidRPr="00B378D0" w:rsidRDefault="00650727" w:rsidP="00D41B55">
            <w:pPr>
              <w:pStyle w:val="QAAnormal"/>
              <w:ind w:right="1134"/>
              <w:rPr>
                <w:b/>
                <w:bCs/>
                <w:color w:val="000000" w:themeColor="text1"/>
              </w:rPr>
            </w:pPr>
            <w:r w:rsidRPr="00B378D0">
              <w:rPr>
                <w:b/>
                <w:bCs/>
                <w:color w:val="000000" w:themeColor="text1"/>
              </w:rPr>
              <w:t>Detail why you consider this evidence demonstrates that you adhere to Sector-Agreed Principle 6.</w:t>
            </w:r>
          </w:p>
          <w:p w14:paraId="33E8B582" w14:textId="77777777" w:rsidR="00B45D5E" w:rsidRDefault="00B45D5E" w:rsidP="00D41B55">
            <w:pPr>
              <w:pStyle w:val="QAAnormal"/>
              <w:ind w:right="1134"/>
              <w:rPr>
                <w:color w:val="000000" w:themeColor="text1"/>
              </w:rPr>
            </w:pPr>
          </w:p>
          <w:p w14:paraId="01881C24" w14:textId="77777777" w:rsidR="00B45D5E" w:rsidRDefault="00B45D5E" w:rsidP="00B45D5E">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69ED16EF" w14:textId="4D900583" w:rsidR="00B45D5E" w:rsidRPr="00D6558D" w:rsidRDefault="00B45D5E" w:rsidP="00D41B55">
            <w:pPr>
              <w:pStyle w:val="QAAnormal"/>
              <w:ind w:right="1134"/>
              <w:rPr>
                <w:rFonts w:cs="Arial"/>
                <w:color w:val="000000" w:themeColor="text1"/>
              </w:rPr>
            </w:pPr>
          </w:p>
        </w:tc>
      </w:tr>
    </w:tbl>
    <w:p w14:paraId="2DC19155" w14:textId="77777777" w:rsidR="003A686A" w:rsidRDefault="003A686A" w:rsidP="003A686A">
      <w:pPr>
        <w:rPr>
          <w:i/>
          <w:iCs/>
          <w:sz w:val="20"/>
        </w:rPr>
      </w:pPr>
      <w:r w:rsidRPr="4CD64A79">
        <w:rPr>
          <w:i/>
          <w:iCs/>
          <w:sz w:val="20"/>
        </w:rPr>
        <w:t>The table above will expand accordingly - the size of the table in this template is not an indicator as to the amount of detail you may provide.</w:t>
      </w:r>
    </w:p>
    <w:p w14:paraId="75138CED" w14:textId="77777777" w:rsidR="00C407F9" w:rsidRDefault="00C407F9">
      <w:pPr>
        <w:widowControl/>
        <w:spacing w:after="0"/>
      </w:pPr>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C407F9" w:rsidRPr="00DB3851" w14:paraId="4FFDA843" w14:textId="77777777" w:rsidTr="001E636C">
        <w:trPr>
          <w:trHeight w:val="567"/>
        </w:trPr>
        <w:tc>
          <w:tcPr>
            <w:tcW w:w="14312" w:type="dxa"/>
            <w:shd w:val="clear" w:color="auto" w:fill="C6EAB8"/>
          </w:tcPr>
          <w:p w14:paraId="06066926" w14:textId="77777777" w:rsidR="00C407F9" w:rsidRPr="00937562" w:rsidRDefault="00C407F9" w:rsidP="00B378D0">
            <w:pPr>
              <w:spacing w:before="60" w:after="120"/>
              <w:rPr>
                <w:b/>
                <w:bCs/>
                <w:color w:val="000000" w:themeColor="text1"/>
                <w:sz w:val="24"/>
                <w:szCs w:val="24"/>
              </w:rPr>
            </w:pPr>
            <w:r w:rsidRPr="00937562">
              <w:rPr>
                <w:b/>
                <w:bCs/>
                <w:color w:val="000000" w:themeColor="text1"/>
                <w:sz w:val="24"/>
                <w:szCs w:val="24"/>
              </w:rPr>
              <w:lastRenderedPageBreak/>
              <w:t xml:space="preserve">Sector-Agreed Principle </w:t>
            </w:r>
            <w:r w:rsidR="00B12713" w:rsidRPr="00937562">
              <w:rPr>
                <w:b/>
                <w:bCs/>
                <w:color w:val="000000" w:themeColor="text1"/>
                <w:sz w:val="24"/>
                <w:szCs w:val="24"/>
              </w:rPr>
              <w:t>8</w:t>
            </w:r>
            <w:r w:rsidR="00075105" w:rsidRPr="00937562">
              <w:rPr>
                <w:b/>
                <w:bCs/>
                <w:color w:val="000000" w:themeColor="text1"/>
                <w:sz w:val="24"/>
                <w:szCs w:val="24"/>
              </w:rPr>
              <w:t>:</w:t>
            </w:r>
            <w:r w:rsidRPr="00937562">
              <w:rPr>
                <w:b/>
                <w:bCs/>
                <w:color w:val="000000" w:themeColor="text1"/>
                <w:sz w:val="24"/>
                <w:szCs w:val="24"/>
              </w:rPr>
              <w:t xml:space="preserve"> </w:t>
            </w:r>
            <w:r w:rsidR="00B12713" w:rsidRPr="00937562">
              <w:rPr>
                <w:b/>
                <w:bCs/>
                <w:color w:val="000000" w:themeColor="text1"/>
                <w:sz w:val="24"/>
                <w:szCs w:val="24"/>
              </w:rPr>
              <w:t>Operat</w:t>
            </w:r>
            <w:r w:rsidRPr="00937562">
              <w:rPr>
                <w:b/>
                <w:bCs/>
                <w:color w:val="000000" w:themeColor="text1"/>
                <w:sz w:val="24"/>
                <w:szCs w:val="24"/>
              </w:rPr>
              <w:t xml:space="preserve">ing </w:t>
            </w:r>
            <w:r w:rsidR="00B12713" w:rsidRPr="00937562">
              <w:rPr>
                <w:b/>
                <w:bCs/>
                <w:color w:val="000000" w:themeColor="text1"/>
                <w:sz w:val="24"/>
                <w:szCs w:val="24"/>
              </w:rPr>
              <w:t xml:space="preserve">partnerships </w:t>
            </w:r>
            <w:r w:rsidR="002C1C60" w:rsidRPr="00937562">
              <w:rPr>
                <w:b/>
                <w:bCs/>
                <w:color w:val="000000" w:themeColor="text1"/>
                <w:sz w:val="24"/>
                <w:szCs w:val="24"/>
              </w:rPr>
              <w:t>with other organisations</w:t>
            </w:r>
          </w:p>
          <w:p w14:paraId="40359712" w14:textId="77777777" w:rsidR="00B378D0" w:rsidRDefault="00B378D0" w:rsidP="00D41B55">
            <w:pPr>
              <w:spacing w:before="60" w:after="60"/>
              <w:rPr>
                <w:i/>
                <w:iCs/>
                <w:szCs w:val="22"/>
              </w:rPr>
            </w:pPr>
            <w:r w:rsidRPr="0005080D">
              <w:rPr>
                <w:i/>
                <w:iCs/>
                <w:szCs w:val="22"/>
              </w:rPr>
              <w:t xml:space="preserve">Providers and their partners agree proportionate arrangements for effective governance to secure the academic standards and enhance the quality of programmes and modules that are delivered in partnership with others. Organisations involved in partnership arrangements agree and communicate the mutual and specific responsibilities in relation to delivering, monitoring, </w:t>
            </w:r>
            <w:proofErr w:type="gramStart"/>
            <w:r w:rsidRPr="0005080D">
              <w:rPr>
                <w:i/>
                <w:iCs/>
                <w:szCs w:val="22"/>
              </w:rPr>
              <w:t>evaluating</w:t>
            </w:r>
            <w:proofErr w:type="gramEnd"/>
            <w:r w:rsidRPr="0005080D">
              <w:rPr>
                <w:i/>
                <w:iCs/>
                <w:szCs w:val="22"/>
              </w:rPr>
              <w:t xml:space="preserve"> and enhancing the learning experience.</w:t>
            </w:r>
          </w:p>
          <w:p w14:paraId="3148C6C1" w14:textId="32E96DB5" w:rsidR="00B378D0" w:rsidRPr="00DB3851" w:rsidRDefault="00B378D0" w:rsidP="00D41B55">
            <w:pPr>
              <w:spacing w:before="60" w:after="60"/>
              <w:rPr>
                <w:rFonts w:eastAsia="Arial"/>
                <w:b/>
                <w:color w:val="FFFFFF" w:themeColor="background1"/>
                <w:szCs w:val="22"/>
              </w:rPr>
            </w:pPr>
          </w:p>
        </w:tc>
      </w:tr>
      <w:tr w:rsidR="00C407F9" w:rsidRPr="00DB3851" w14:paraId="0C6378A8" w14:textId="77777777" w:rsidTr="00F03407">
        <w:trPr>
          <w:trHeight w:val="1839"/>
        </w:trPr>
        <w:tc>
          <w:tcPr>
            <w:tcW w:w="14312" w:type="dxa"/>
            <w:shd w:val="clear" w:color="auto" w:fill="auto"/>
          </w:tcPr>
          <w:p w14:paraId="5A537FBC" w14:textId="77777777" w:rsidR="00C407F9" w:rsidRDefault="00C407F9" w:rsidP="00D41B55">
            <w:pPr>
              <w:pStyle w:val="Header"/>
              <w:spacing w:before="60" w:after="60"/>
              <w:rPr>
                <w:b/>
                <w:bCs/>
                <w:color w:val="000000" w:themeColor="text1"/>
                <w:szCs w:val="22"/>
              </w:rPr>
            </w:pPr>
            <w:r w:rsidRPr="00FB5D34">
              <w:rPr>
                <w:b/>
                <w:bCs/>
                <w:color w:val="000000" w:themeColor="text1"/>
                <w:szCs w:val="22"/>
              </w:rPr>
              <w:t>Key Practices</w:t>
            </w:r>
          </w:p>
          <w:p w14:paraId="3D9EBB37" w14:textId="77777777" w:rsidR="00F03407" w:rsidRDefault="00F03407" w:rsidP="00F03407">
            <w:pPr>
              <w:pStyle w:val="Header"/>
              <w:spacing w:before="60" w:after="0"/>
              <w:rPr>
                <w:b/>
                <w:bCs/>
                <w:color w:val="000000" w:themeColor="text1"/>
                <w:szCs w:val="22"/>
              </w:rPr>
            </w:pPr>
          </w:p>
          <w:p w14:paraId="1B91D5D0" w14:textId="77777777" w:rsidR="00C1364D" w:rsidRPr="00A978DF" w:rsidRDefault="00C1364D" w:rsidP="00A978DF">
            <w:pPr>
              <w:pStyle w:val="BulletedList"/>
              <w:numPr>
                <w:ilvl w:val="0"/>
                <w:numId w:val="34"/>
              </w:numPr>
              <w:ind w:left="567" w:hanging="567"/>
            </w:pPr>
            <w:r w:rsidRPr="00A978DF">
              <w:t xml:space="preserve">Where academic provision is delivered through partnership, all partners agree, understand, </w:t>
            </w:r>
            <w:proofErr w:type="gramStart"/>
            <w:r w:rsidRPr="00A978DF">
              <w:t>communicate</w:t>
            </w:r>
            <w:proofErr w:type="gramEnd"/>
            <w:r w:rsidRPr="00A978DF">
              <w:t xml:space="preserve"> and take responsibility for the maintenance of academic standards and enhancement of quality.</w:t>
            </w:r>
          </w:p>
          <w:p w14:paraId="44C44D3A" w14:textId="3965D44C" w:rsidR="00C1364D" w:rsidRPr="00A978DF" w:rsidRDefault="00C1364D" w:rsidP="00A978DF">
            <w:pPr>
              <w:pStyle w:val="BulletedList"/>
            </w:pPr>
            <w:r w:rsidRPr="00A978DF">
              <w:t>Providers are aware that working in partnership with other organisations will involve different levels of risk. Due diligence processes are completed in accordance with each provider</w:t>
            </w:r>
            <w:r w:rsidR="001E4F5C" w:rsidRPr="00A978DF">
              <w:t>'</w:t>
            </w:r>
            <w:r w:rsidRPr="00A978DF">
              <w:t xml:space="preserve">s approach to minimising risk, maintaining academic </w:t>
            </w:r>
            <w:proofErr w:type="gramStart"/>
            <w:r w:rsidRPr="00A978DF">
              <w:t>standards</w:t>
            </w:r>
            <w:proofErr w:type="gramEnd"/>
            <w:r w:rsidRPr="00A978DF">
              <w:t xml:space="preserve"> and enhancing quality.  </w:t>
            </w:r>
          </w:p>
          <w:p w14:paraId="39D37A8B" w14:textId="77777777" w:rsidR="00C1364D" w:rsidRPr="00A978DF" w:rsidRDefault="00C1364D" w:rsidP="00A978DF">
            <w:pPr>
              <w:pStyle w:val="BulletedList"/>
            </w:pPr>
            <w:r w:rsidRPr="00A978DF">
              <w:t>Written agreements between partners are signed prior to the start of a programme or module and cover the lifecycle of the partnership, including details about closing a partnership.</w:t>
            </w:r>
          </w:p>
          <w:p w14:paraId="0111037C" w14:textId="77777777" w:rsidR="00C1364D" w:rsidRPr="00A978DF" w:rsidRDefault="00C1364D" w:rsidP="00A978DF">
            <w:pPr>
              <w:pStyle w:val="BulletedList"/>
            </w:pPr>
            <w:r w:rsidRPr="00A978DF">
              <w:t>Providers and their partners ensure compliance with the regulatory and legislative requirements of the countries in which they work and maintain an awareness of the cultural context in which they operate. Providers ensure students have information about the responsibilities of each partner and where to go for support throughout their studies.</w:t>
            </w:r>
          </w:p>
          <w:p w14:paraId="04BF6F7C" w14:textId="77777777" w:rsidR="00C1364D" w:rsidRPr="00A978DF" w:rsidRDefault="00C1364D" w:rsidP="00A978DF">
            <w:pPr>
              <w:pStyle w:val="BulletedList"/>
            </w:pPr>
            <w:r w:rsidRPr="00A978DF">
              <w:t>Providers maintain accurate, up-to-date records of partnership arrangements that are subject to a formal agreement.</w:t>
            </w:r>
          </w:p>
          <w:p w14:paraId="0BB40644" w14:textId="77777777" w:rsidR="00C407F9" w:rsidRPr="00A978DF" w:rsidRDefault="00C1364D" w:rsidP="00A978DF">
            <w:pPr>
              <w:pStyle w:val="BulletedList"/>
            </w:pPr>
            <w:r w:rsidRPr="00A978DF">
              <w:t xml:space="preserve">Partnerships are subject to ongoing scrutiny that includes regular monitoring, </w:t>
            </w:r>
            <w:proofErr w:type="gramStart"/>
            <w:r w:rsidRPr="00A978DF">
              <w:t>evaluation</w:t>
            </w:r>
            <w:proofErr w:type="gramEnd"/>
            <w:r w:rsidRPr="00A978DF">
              <w:t xml:space="preserve"> and</w:t>
            </w:r>
            <w:r w:rsidR="00370146" w:rsidRPr="00A978DF">
              <w:t xml:space="preserve"> review to assure quality and facilitate enhancement.</w:t>
            </w:r>
          </w:p>
          <w:p w14:paraId="0FA6C86B" w14:textId="6F9DD979" w:rsidR="00075105" w:rsidRPr="00E737F5" w:rsidRDefault="00075105" w:rsidP="00075105">
            <w:pPr>
              <w:pStyle w:val="BulletedList"/>
              <w:numPr>
                <w:ilvl w:val="0"/>
                <w:numId w:val="0"/>
              </w:numPr>
              <w:ind w:left="567"/>
              <w:rPr>
                <w:sz w:val="20"/>
              </w:rPr>
            </w:pPr>
          </w:p>
        </w:tc>
      </w:tr>
      <w:tr w:rsidR="00075105" w:rsidRPr="00DB3851" w14:paraId="74F90C9B" w14:textId="77777777" w:rsidTr="006711AB">
        <w:trPr>
          <w:trHeight w:val="567"/>
        </w:trPr>
        <w:tc>
          <w:tcPr>
            <w:tcW w:w="14312" w:type="dxa"/>
            <w:shd w:val="clear" w:color="auto" w:fill="C6EAB8"/>
          </w:tcPr>
          <w:p w14:paraId="1F5402B8" w14:textId="500D86D6" w:rsidR="00075105" w:rsidRPr="00075105" w:rsidRDefault="00075105" w:rsidP="00650727">
            <w:pPr>
              <w:pStyle w:val="QAAnormal"/>
              <w:ind w:right="1134"/>
              <w:rPr>
                <w:rFonts w:cs="Arial"/>
                <w:b/>
                <w:bCs/>
                <w:color w:val="000000" w:themeColor="text1"/>
                <w:sz w:val="24"/>
                <w:szCs w:val="24"/>
              </w:rPr>
            </w:pPr>
            <w:r w:rsidRPr="00075105">
              <w:rPr>
                <w:rFonts w:cs="Arial"/>
                <w:b/>
                <w:bCs/>
                <w:color w:val="000000" w:themeColor="text1"/>
                <w:sz w:val="24"/>
                <w:szCs w:val="24"/>
              </w:rPr>
              <w:t>Part 1</w:t>
            </w:r>
          </w:p>
        </w:tc>
      </w:tr>
      <w:tr w:rsidR="00C407F9" w:rsidRPr="00DB3851" w14:paraId="6B2470C4" w14:textId="77777777" w:rsidTr="00075105">
        <w:trPr>
          <w:trHeight w:val="1558"/>
        </w:trPr>
        <w:tc>
          <w:tcPr>
            <w:tcW w:w="14312" w:type="dxa"/>
            <w:shd w:val="clear" w:color="auto" w:fill="auto"/>
          </w:tcPr>
          <w:p w14:paraId="48E5241F" w14:textId="56E8AC40" w:rsidR="00C407F9" w:rsidRPr="00B378D0" w:rsidRDefault="00AB3BDF" w:rsidP="00650727">
            <w:pPr>
              <w:pStyle w:val="QAAnormal"/>
              <w:ind w:right="1134"/>
              <w:rPr>
                <w:rFonts w:cs="Arial"/>
                <w:b/>
                <w:bCs/>
                <w:color w:val="000000" w:themeColor="text1"/>
              </w:rPr>
            </w:pPr>
            <w:r w:rsidRPr="00B378D0">
              <w:rPr>
                <w:rFonts w:cs="Arial"/>
                <w:b/>
                <w:bCs/>
                <w:color w:val="000000" w:themeColor="text1"/>
              </w:rPr>
              <w:t>List</w:t>
            </w:r>
            <w:r w:rsidR="00650727" w:rsidRPr="00B378D0">
              <w:rPr>
                <w:rFonts w:cs="Arial"/>
                <w:b/>
                <w:bCs/>
                <w:color w:val="000000" w:themeColor="text1"/>
              </w:rPr>
              <w:t xml:space="preserve"> the evidence you believe</w:t>
            </w:r>
            <w:r w:rsidR="00C407F9" w:rsidRPr="00B378D0">
              <w:rPr>
                <w:rFonts w:cs="Arial"/>
                <w:b/>
                <w:bCs/>
                <w:color w:val="000000" w:themeColor="text1"/>
              </w:rPr>
              <w:t xml:space="preserve"> will assist the review team in making a judgement on whether you demonstrate adherence to Se</w:t>
            </w:r>
            <w:r w:rsidR="00C407F9" w:rsidRPr="00B378D0">
              <w:rPr>
                <w:b/>
                <w:bCs/>
                <w:color w:val="000000" w:themeColor="text1"/>
              </w:rPr>
              <w:t xml:space="preserve">ctor-Agreed Principle </w:t>
            </w:r>
            <w:r w:rsidR="00BA43A6" w:rsidRPr="00B378D0">
              <w:rPr>
                <w:b/>
                <w:bCs/>
                <w:color w:val="000000" w:themeColor="text1"/>
              </w:rPr>
              <w:t>8</w:t>
            </w:r>
            <w:r w:rsidR="00C407F9" w:rsidRPr="00B378D0">
              <w:rPr>
                <w:rFonts w:cs="Arial"/>
                <w:b/>
                <w:bCs/>
                <w:color w:val="000000" w:themeColor="text1"/>
              </w:rPr>
              <w:t>.</w:t>
            </w:r>
            <w:r w:rsidR="00C407F9" w:rsidRPr="00B378D0">
              <w:rPr>
                <w:b/>
                <w:bCs/>
                <w:color w:val="000000" w:themeColor="text1"/>
              </w:rPr>
              <w:t xml:space="preserve"> </w:t>
            </w:r>
          </w:p>
          <w:p w14:paraId="19A7A04A" w14:textId="77777777" w:rsidR="00C407F9" w:rsidRDefault="00C407F9" w:rsidP="00D41B55">
            <w:pPr>
              <w:pStyle w:val="QAAnormal"/>
              <w:ind w:right="1134"/>
              <w:rPr>
                <w:rFonts w:cs="Arial"/>
                <w:color w:val="000000" w:themeColor="text1"/>
              </w:rPr>
            </w:pPr>
          </w:p>
          <w:p w14:paraId="177E80EB" w14:textId="1ADA9D0C" w:rsidR="00C407F9" w:rsidRPr="70FB7DD3" w:rsidRDefault="00B45D5E" w:rsidP="00075105">
            <w:pPr>
              <w:pStyle w:val="QAAnormal"/>
              <w:ind w:right="460"/>
              <w:rPr>
                <w:rFonts w:cs="Arial"/>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tc>
      </w:tr>
    </w:tbl>
    <w:p w14:paraId="5D46403F" w14:textId="77777777" w:rsidR="00075105" w:rsidRDefault="00075105">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F03407" w:rsidRPr="00DB3851" w14:paraId="3143AE94" w14:textId="77777777" w:rsidTr="006711AB">
        <w:trPr>
          <w:trHeight w:val="567"/>
        </w:trPr>
        <w:tc>
          <w:tcPr>
            <w:tcW w:w="14312" w:type="dxa"/>
            <w:shd w:val="clear" w:color="auto" w:fill="C6EAB8"/>
          </w:tcPr>
          <w:p w14:paraId="23A2A293" w14:textId="502602CD" w:rsidR="00F03407" w:rsidRPr="00075105" w:rsidRDefault="00075105" w:rsidP="00650727">
            <w:pPr>
              <w:pStyle w:val="QAAnormal"/>
              <w:ind w:right="1134"/>
              <w:rPr>
                <w:rFonts w:cs="Arial"/>
                <w:b/>
                <w:bCs/>
                <w:color w:val="000000" w:themeColor="text1"/>
                <w:sz w:val="24"/>
                <w:szCs w:val="24"/>
              </w:rPr>
            </w:pPr>
            <w:r w:rsidRPr="00075105">
              <w:rPr>
                <w:rFonts w:cs="Arial"/>
                <w:b/>
                <w:bCs/>
                <w:color w:val="000000" w:themeColor="text1"/>
                <w:sz w:val="24"/>
                <w:szCs w:val="24"/>
              </w:rPr>
              <w:lastRenderedPageBreak/>
              <w:t>Part 2</w:t>
            </w:r>
          </w:p>
        </w:tc>
      </w:tr>
      <w:tr w:rsidR="00650727" w:rsidRPr="00DB3851" w14:paraId="6F88451A" w14:textId="77777777" w:rsidTr="00075105">
        <w:trPr>
          <w:trHeight w:val="1839"/>
        </w:trPr>
        <w:tc>
          <w:tcPr>
            <w:tcW w:w="14312" w:type="dxa"/>
            <w:shd w:val="clear" w:color="auto" w:fill="auto"/>
          </w:tcPr>
          <w:p w14:paraId="721ADAC7" w14:textId="6C8178C7" w:rsidR="00650727" w:rsidRPr="00B378D0" w:rsidRDefault="00650727" w:rsidP="00DD0ABF">
            <w:pPr>
              <w:pStyle w:val="QAAnormal"/>
              <w:ind w:right="454"/>
              <w:rPr>
                <w:b/>
                <w:bCs/>
              </w:rPr>
            </w:pPr>
            <w:r w:rsidRPr="00B378D0">
              <w:rPr>
                <w:b/>
                <w:bCs/>
              </w:rPr>
              <w:t xml:space="preserve">Highlight which parts of your evidence submission (listed in </w:t>
            </w:r>
            <w:r w:rsidR="00CC216C">
              <w:rPr>
                <w:b/>
                <w:bCs/>
              </w:rPr>
              <w:t>Part 1</w:t>
            </w:r>
            <w:r w:rsidRPr="00B378D0">
              <w:rPr>
                <w:b/>
                <w:bCs/>
              </w:rPr>
              <w:t xml:space="preserve"> </w:t>
            </w:r>
            <w:r w:rsidR="00160EF0" w:rsidRPr="00B378D0">
              <w:rPr>
                <w:b/>
                <w:bCs/>
              </w:rPr>
              <w:t>above</w:t>
            </w:r>
            <w:r w:rsidRPr="00B378D0">
              <w:rPr>
                <w:b/>
                <w:bCs/>
              </w:rPr>
              <w:t>) the review team may wish to consider when forming a judgement as to whether you demonstrate adherence to Sector-Agreed Principle 8. Where applicable, include references to specific parts, sections or paragraphs of documents.</w:t>
            </w:r>
          </w:p>
          <w:p w14:paraId="6188B46C" w14:textId="77777777" w:rsidR="00B45D5E" w:rsidRDefault="00B45D5E" w:rsidP="00650727">
            <w:pPr>
              <w:pStyle w:val="QAAnormal"/>
              <w:ind w:right="1134"/>
            </w:pPr>
          </w:p>
          <w:p w14:paraId="547E740A" w14:textId="77777777" w:rsidR="00B45D5E" w:rsidRDefault="00B45D5E" w:rsidP="00B45D5E">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291D9921" w14:textId="07B34CF1" w:rsidR="00B45D5E" w:rsidRPr="004A2E1C" w:rsidRDefault="00B45D5E" w:rsidP="00650727">
            <w:pPr>
              <w:pStyle w:val="QAAnormal"/>
              <w:ind w:right="1134"/>
              <w:rPr>
                <w:rFonts w:cs="Arial"/>
                <w:b/>
                <w:bCs/>
                <w:color w:val="000000" w:themeColor="text1"/>
              </w:rPr>
            </w:pPr>
          </w:p>
        </w:tc>
      </w:tr>
      <w:tr w:rsidR="00F03407" w:rsidRPr="00DB3851" w14:paraId="1364C44B" w14:textId="77777777" w:rsidTr="006711AB">
        <w:trPr>
          <w:trHeight w:val="567"/>
        </w:trPr>
        <w:tc>
          <w:tcPr>
            <w:tcW w:w="14312" w:type="dxa"/>
            <w:shd w:val="clear" w:color="auto" w:fill="C6EAB8"/>
          </w:tcPr>
          <w:p w14:paraId="3C39E075" w14:textId="7788FC7B" w:rsidR="00F03407" w:rsidRPr="00075105" w:rsidRDefault="00075105" w:rsidP="00650727">
            <w:pPr>
              <w:pStyle w:val="QAAnormal"/>
              <w:ind w:right="1134"/>
              <w:rPr>
                <w:rFonts w:cs="Arial"/>
                <w:b/>
                <w:bCs/>
                <w:color w:val="000000" w:themeColor="text1"/>
                <w:sz w:val="24"/>
                <w:szCs w:val="24"/>
              </w:rPr>
            </w:pPr>
            <w:r w:rsidRPr="00075105">
              <w:rPr>
                <w:rFonts w:cs="Arial"/>
                <w:b/>
                <w:bCs/>
                <w:color w:val="000000" w:themeColor="text1"/>
                <w:sz w:val="24"/>
                <w:szCs w:val="24"/>
              </w:rPr>
              <w:t>Part 3</w:t>
            </w:r>
          </w:p>
        </w:tc>
      </w:tr>
      <w:tr w:rsidR="00650727" w:rsidRPr="00DB3851" w14:paraId="38C5B07E" w14:textId="77777777" w:rsidTr="00075105">
        <w:trPr>
          <w:trHeight w:val="1839"/>
        </w:trPr>
        <w:tc>
          <w:tcPr>
            <w:tcW w:w="14312" w:type="dxa"/>
            <w:shd w:val="clear" w:color="auto" w:fill="auto"/>
          </w:tcPr>
          <w:p w14:paraId="5B0E716B" w14:textId="77777777" w:rsidR="00650727" w:rsidRPr="00B378D0" w:rsidRDefault="00650727" w:rsidP="00650727">
            <w:pPr>
              <w:pStyle w:val="QAAnormal"/>
              <w:ind w:right="1134"/>
              <w:rPr>
                <w:b/>
                <w:bCs/>
                <w:color w:val="000000" w:themeColor="text1"/>
              </w:rPr>
            </w:pPr>
            <w:r w:rsidRPr="00B378D0">
              <w:rPr>
                <w:b/>
                <w:bCs/>
                <w:color w:val="000000" w:themeColor="text1"/>
              </w:rPr>
              <w:t>Detail why you consider this evidence demonstrates that you adhere to Sector-Agreed Principle 8.</w:t>
            </w:r>
          </w:p>
          <w:p w14:paraId="37B90AFA" w14:textId="77777777" w:rsidR="00B45D5E" w:rsidRDefault="00B45D5E" w:rsidP="00650727">
            <w:pPr>
              <w:pStyle w:val="QAAnormal"/>
              <w:ind w:right="1134"/>
              <w:rPr>
                <w:color w:val="000000" w:themeColor="text1"/>
              </w:rPr>
            </w:pPr>
          </w:p>
          <w:p w14:paraId="50E6E1E0" w14:textId="77777777" w:rsidR="00B45D5E" w:rsidRDefault="00B45D5E" w:rsidP="00B45D5E">
            <w:pPr>
              <w:pStyle w:val="QAAnormal"/>
              <w:ind w:right="460"/>
              <w:rPr>
                <w:rFonts w:cs="Arial"/>
                <w:i/>
                <w:iCs/>
                <w:color w:val="000000" w:themeColor="text1"/>
              </w:rPr>
            </w:pPr>
            <w:r>
              <w:rPr>
                <w:rFonts w:cs="Arial"/>
                <w:i/>
                <w:iCs/>
                <w:color w:val="000000" w:themeColor="text1"/>
              </w:rPr>
              <w:t>[</w:t>
            </w:r>
            <w:r w:rsidRPr="00214BC8">
              <w:rPr>
                <w:rFonts w:cs="Arial"/>
                <w:i/>
                <w:iCs/>
                <w:color w:val="000000" w:themeColor="text1"/>
              </w:rPr>
              <w:t>Add text</w:t>
            </w:r>
            <w:r>
              <w:rPr>
                <w:rFonts w:cs="Arial"/>
                <w:i/>
                <w:iCs/>
                <w:color w:val="000000" w:themeColor="text1"/>
              </w:rPr>
              <w:t>]</w:t>
            </w:r>
          </w:p>
          <w:p w14:paraId="71287963" w14:textId="35E2C436" w:rsidR="00B45D5E" w:rsidRPr="00C96FB2" w:rsidRDefault="00B45D5E" w:rsidP="00650727">
            <w:pPr>
              <w:pStyle w:val="QAAnormal"/>
              <w:ind w:right="1134"/>
              <w:rPr>
                <w:rFonts w:cs="Arial"/>
                <w:b/>
                <w:bCs/>
                <w:color w:val="000000" w:themeColor="text1"/>
              </w:rPr>
            </w:pPr>
          </w:p>
        </w:tc>
      </w:tr>
    </w:tbl>
    <w:p w14:paraId="07435F69" w14:textId="77777777" w:rsidR="00C407F9" w:rsidRDefault="00C407F9" w:rsidP="00C407F9">
      <w:pPr>
        <w:rPr>
          <w:i/>
          <w:iCs/>
          <w:sz w:val="20"/>
        </w:rPr>
      </w:pPr>
      <w:r w:rsidRPr="4CD64A79">
        <w:rPr>
          <w:i/>
          <w:iCs/>
          <w:sz w:val="20"/>
        </w:rPr>
        <w:t>The table above will expand accordingly - the size of the table in this template is not an indicator as to the amount of detail you may provide.</w:t>
      </w:r>
    </w:p>
    <w:p w14:paraId="51B00549" w14:textId="77777777" w:rsidR="000E55A2" w:rsidRDefault="000E55A2" w:rsidP="00C407F9"/>
    <w:p w14:paraId="6898A703" w14:textId="77777777" w:rsidR="000E55A2" w:rsidRDefault="000E55A2" w:rsidP="00C407F9">
      <w:pPr>
        <w:sectPr w:rsidR="000E55A2" w:rsidSect="00BA30A7">
          <w:pgSz w:w="16838" w:h="11906" w:orient="landscape" w:code="9"/>
          <w:pgMar w:top="1440" w:right="1440" w:bottom="1440" w:left="1440" w:header="720" w:footer="720" w:gutter="0"/>
          <w:pgNumType w:start="4"/>
          <w:cols w:space="708"/>
          <w:docGrid w:linePitch="326"/>
        </w:sectPr>
      </w:pPr>
    </w:p>
    <w:p w14:paraId="6346812F" w14:textId="55E15694" w:rsidR="00C038C8" w:rsidRDefault="64E30B92" w:rsidP="005D52FE">
      <w:pPr>
        <w:pStyle w:val="Heading2"/>
      </w:pPr>
      <w:r w:rsidRPr="004435CB">
        <w:lastRenderedPageBreak/>
        <w:t xml:space="preserve">Section </w:t>
      </w:r>
      <w:r w:rsidR="00272631">
        <w:t>3</w:t>
      </w:r>
      <w:r w:rsidRPr="004435CB">
        <w:t xml:space="preserve">: </w:t>
      </w:r>
      <w:r w:rsidR="00C038C8" w:rsidRPr="004435CB">
        <w:t>Evidence summary</w:t>
      </w:r>
    </w:p>
    <w:p w14:paraId="5B17B818" w14:textId="7537EB98" w:rsidR="009455C5" w:rsidRPr="009455C5" w:rsidRDefault="009455C5" w:rsidP="009455C5">
      <w:r>
        <w:t>This section can be submitted as a separate Excel spreadsheet if preferred</w:t>
      </w:r>
      <w:r w:rsidR="00050AB2">
        <w:t>.</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544"/>
        <w:gridCol w:w="9180"/>
      </w:tblGrid>
      <w:tr w:rsidR="00C038C8" w:rsidRPr="00DB3851" w14:paraId="287A4A66" w14:textId="77777777" w:rsidTr="006711AB">
        <w:trPr>
          <w:trHeight w:val="567"/>
        </w:trPr>
        <w:tc>
          <w:tcPr>
            <w:tcW w:w="14562" w:type="dxa"/>
            <w:gridSpan w:val="3"/>
            <w:shd w:val="clear" w:color="auto" w:fill="C6EAB8"/>
          </w:tcPr>
          <w:p w14:paraId="22D6E0C9" w14:textId="77777777" w:rsidR="00C038C8" w:rsidRPr="00F03407" w:rsidRDefault="00C038C8" w:rsidP="00D77C2E">
            <w:pPr>
              <w:spacing w:before="60" w:after="60"/>
              <w:rPr>
                <w:rFonts w:eastAsia="Arial"/>
                <w:b/>
                <w:color w:val="FFFFFF" w:themeColor="background1"/>
                <w:sz w:val="24"/>
                <w:szCs w:val="24"/>
              </w:rPr>
            </w:pPr>
            <w:r w:rsidRPr="00F03407">
              <w:rPr>
                <w:rFonts w:eastAsia="Arial"/>
                <w:b/>
                <w:color w:val="000000" w:themeColor="text1"/>
                <w:sz w:val="24"/>
                <w:szCs w:val="24"/>
              </w:rPr>
              <w:t>Evidence table</w:t>
            </w:r>
          </w:p>
        </w:tc>
      </w:tr>
      <w:tr w:rsidR="00C038C8" w:rsidRPr="00DB3851" w14:paraId="0093FD4C" w14:textId="77777777" w:rsidTr="005D52FE">
        <w:trPr>
          <w:trHeight w:val="1010"/>
        </w:trPr>
        <w:tc>
          <w:tcPr>
            <w:tcW w:w="1838" w:type="dxa"/>
            <w:shd w:val="clear" w:color="auto" w:fill="D9D9D9"/>
          </w:tcPr>
          <w:p w14:paraId="7684FA8D" w14:textId="77777777" w:rsidR="00C038C8" w:rsidRDefault="00C038C8" w:rsidP="00D77C2E">
            <w:pPr>
              <w:spacing w:before="60" w:after="0"/>
              <w:rPr>
                <w:b/>
                <w:bCs/>
                <w:color w:val="000000" w:themeColor="text1"/>
                <w:szCs w:val="22"/>
              </w:rPr>
            </w:pPr>
            <w:r w:rsidRPr="002107AF">
              <w:rPr>
                <w:b/>
                <w:bCs/>
                <w:color w:val="000000" w:themeColor="text1"/>
                <w:szCs w:val="22"/>
              </w:rPr>
              <w:t xml:space="preserve">Evidence reference </w:t>
            </w:r>
          </w:p>
          <w:p w14:paraId="668CE8B5" w14:textId="77777777" w:rsidR="00C038C8" w:rsidRPr="002107AF" w:rsidRDefault="00C038C8" w:rsidP="00D77C2E">
            <w:pPr>
              <w:spacing w:before="60" w:after="0"/>
              <w:rPr>
                <w:b/>
                <w:bCs/>
                <w:color w:val="000000" w:themeColor="text1"/>
                <w:szCs w:val="22"/>
              </w:rPr>
            </w:pPr>
            <w:r>
              <w:rPr>
                <w:i/>
                <w:iCs/>
                <w:color w:val="000000" w:themeColor="text1"/>
              </w:rPr>
              <w:t>U</w:t>
            </w:r>
            <w:r w:rsidRPr="00AE3F28">
              <w:rPr>
                <w:i/>
                <w:iCs/>
                <w:color w:val="000000" w:themeColor="text1"/>
                <w:sz w:val="20"/>
              </w:rPr>
              <w:t>se sequential numbering</w:t>
            </w:r>
            <w:r>
              <w:rPr>
                <w:i/>
                <w:iCs/>
                <w:color w:val="000000" w:themeColor="text1"/>
                <w:sz w:val="20"/>
              </w:rPr>
              <w:t xml:space="preserve"> </w:t>
            </w:r>
            <w:r w:rsidRPr="00AE3F28">
              <w:rPr>
                <w:i/>
                <w:iCs/>
                <w:color w:val="000000" w:themeColor="text1"/>
                <w:sz w:val="20"/>
              </w:rPr>
              <w:t>(001, 002 etc)</w:t>
            </w:r>
          </w:p>
        </w:tc>
        <w:tc>
          <w:tcPr>
            <w:tcW w:w="3544" w:type="dxa"/>
            <w:shd w:val="clear" w:color="auto" w:fill="D9D9D9"/>
          </w:tcPr>
          <w:p w14:paraId="46C860C3" w14:textId="77777777" w:rsidR="00C038C8" w:rsidRDefault="00C038C8" w:rsidP="00D77C2E">
            <w:pPr>
              <w:spacing w:before="60" w:after="0"/>
              <w:rPr>
                <w:b/>
                <w:bCs/>
                <w:color w:val="000000" w:themeColor="text1"/>
                <w:szCs w:val="22"/>
              </w:rPr>
            </w:pPr>
            <w:r w:rsidRPr="002107AF">
              <w:rPr>
                <w:b/>
                <w:bCs/>
                <w:color w:val="000000" w:themeColor="text1"/>
                <w:szCs w:val="22"/>
              </w:rPr>
              <w:t>Evidence piece</w:t>
            </w:r>
          </w:p>
          <w:p w14:paraId="10350018" w14:textId="77777777" w:rsidR="00C038C8" w:rsidRPr="00486724" w:rsidRDefault="00C038C8" w:rsidP="00D77C2E">
            <w:pPr>
              <w:spacing w:before="60" w:after="0"/>
              <w:rPr>
                <w:color w:val="000000" w:themeColor="text1"/>
                <w:szCs w:val="22"/>
              </w:rPr>
            </w:pPr>
            <w:r w:rsidRPr="00486724">
              <w:rPr>
                <w:i/>
                <w:iCs/>
                <w:color w:val="000000" w:themeColor="text1"/>
                <w:sz w:val="20"/>
              </w:rPr>
              <w:t xml:space="preserve">EXAMPLE: Complaints Handling </w:t>
            </w:r>
          </w:p>
        </w:tc>
        <w:tc>
          <w:tcPr>
            <w:tcW w:w="9180" w:type="dxa"/>
            <w:shd w:val="clear" w:color="auto" w:fill="D9D9D9"/>
          </w:tcPr>
          <w:p w14:paraId="5C5157BB" w14:textId="77777777" w:rsidR="00C038C8" w:rsidRDefault="00C038C8" w:rsidP="004A2E1C">
            <w:pPr>
              <w:pStyle w:val="Header"/>
              <w:spacing w:before="60" w:after="0"/>
              <w:rPr>
                <w:b/>
                <w:bCs/>
                <w:szCs w:val="22"/>
              </w:rPr>
            </w:pPr>
            <w:r w:rsidRPr="002107AF">
              <w:rPr>
                <w:b/>
                <w:bCs/>
                <w:szCs w:val="22"/>
              </w:rPr>
              <w:t>Summary description</w:t>
            </w:r>
            <w:r>
              <w:rPr>
                <w:b/>
                <w:bCs/>
                <w:szCs w:val="22"/>
              </w:rPr>
              <w:t xml:space="preserve"> (if required)</w:t>
            </w:r>
          </w:p>
          <w:p w14:paraId="379F97EC" w14:textId="77777777" w:rsidR="00C038C8" w:rsidRPr="00486724" w:rsidRDefault="00C038C8" w:rsidP="00D77C2E">
            <w:pPr>
              <w:pStyle w:val="Header"/>
              <w:spacing w:before="60" w:after="60"/>
              <w:rPr>
                <w:szCs w:val="22"/>
              </w:rPr>
            </w:pPr>
            <w:r w:rsidRPr="00486724">
              <w:rPr>
                <w:i/>
                <w:iCs/>
                <w:sz w:val="20"/>
              </w:rPr>
              <w:t>EXAMPLE: Institutional policy on dealing with complaints from higher education students</w:t>
            </w:r>
          </w:p>
        </w:tc>
      </w:tr>
      <w:tr w:rsidR="00C038C8" w:rsidRPr="00DB3851" w14:paraId="37D97D21" w14:textId="77777777" w:rsidTr="005D52FE">
        <w:trPr>
          <w:trHeight w:val="420"/>
        </w:trPr>
        <w:tc>
          <w:tcPr>
            <w:tcW w:w="1838" w:type="dxa"/>
          </w:tcPr>
          <w:p w14:paraId="486907CD" w14:textId="77777777" w:rsidR="00C038C8" w:rsidRPr="00C74F84" w:rsidRDefault="00C038C8" w:rsidP="00D77C2E">
            <w:pPr>
              <w:spacing w:before="60"/>
              <w:rPr>
                <w:color w:val="000000" w:themeColor="text1"/>
                <w:sz w:val="20"/>
              </w:rPr>
            </w:pPr>
          </w:p>
        </w:tc>
        <w:tc>
          <w:tcPr>
            <w:tcW w:w="3544" w:type="dxa"/>
            <w:shd w:val="clear" w:color="auto" w:fill="auto"/>
          </w:tcPr>
          <w:p w14:paraId="005D3059" w14:textId="77777777" w:rsidR="00C038C8" w:rsidRDefault="00C038C8" w:rsidP="00D77C2E">
            <w:pPr>
              <w:spacing w:before="60"/>
              <w:rPr>
                <w:b/>
                <w:bCs/>
                <w:color w:val="000000" w:themeColor="text1"/>
                <w:sz w:val="20"/>
              </w:rPr>
            </w:pPr>
          </w:p>
        </w:tc>
        <w:tc>
          <w:tcPr>
            <w:tcW w:w="9180" w:type="dxa"/>
            <w:shd w:val="clear" w:color="auto" w:fill="auto"/>
          </w:tcPr>
          <w:p w14:paraId="1214825A" w14:textId="77777777" w:rsidR="00C038C8" w:rsidRDefault="00C038C8" w:rsidP="00D77C2E">
            <w:pPr>
              <w:pStyle w:val="Header"/>
              <w:spacing w:before="60" w:after="60"/>
              <w:rPr>
                <w:b/>
                <w:bCs/>
                <w:sz w:val="20"/>
              </w:rPr>
            </w:pPr>
          </w:p>
        </w:tc>
      </w:tr>
      <w:tr w:rsidR="00C038C8" w:rsidRPr="00DB3851" w14:paraId="2EFB3655" w14:textId="77777777" w:rsidTr="005D52FE">
        <w:trPr>
          <w:trHeight w:val="420"/>
        </w:trPr>
        <w:tc>
          <w:tcPr>
            <w:tcW w:w="1838" w:type="dxa"/>
          </w:tcPr>
          <w:p w14:paraId="2DA2394E" w14:textId="77777777" w:rsidR="00C038C8" w:rsidRDefault="00C038C8" w:rsidP="00D77C2E">
            <w:pPr>
              <w:spacing w:before="60"/>
              <w:rPr>
                <w:b/>
                <w:bCs/>
                <w:color w:val="000000" w:themeColor="text1"/>
                <w:sz w:val="20"/>
              </w:rPr>
            </w:pPr>
          </w:p>
        </w:tc>
        <w:tc>
          <w:tcPr>
            <w:tcW w:w="3544" w:type="dxa"/>
            <w:shd w:val="clear" w:color="auto" w:fill="auto"/>
          </w:tcPr>
          <w:p w14:paraId="437D3AFB" w14:textId="77777777" w:rsidR="00C038C8" w:rsidRDefault="00C038C8" w:rsidP="00D77C2E">
            <w:pPr>
              <w:spacing w:before="60"/>
              <w:rPr>
                <w:b/>
                <w:bCs/>
                <w:color w:val="000000" w:themeColor="text1"/>
                <w:sz w:val="20"/>
              </w:rPr>
            </w:pPr>
          </w:p>
        </w:tc>
        <w:tc>
          <w:tcPr>
            <w:tcW w:w="9180" w:type="dxa"/>
            <w:shd w:val="clear" w:color="auto" w:fill="auto"/>
          </w:tcPr>
          <w:p w14:paraId="364C7A43" w14:textId="77777777" w:rsidR="00C038C8" w:rsidRDefault="00C038C8" w:rsidP="00D77C2E">
            <w:pPr>
              <w:pStyle w:val="Header"/>
              <w:spacing w:before="60" w:after="60"/>
              <w:rPr>
                <w:b/>
                <w:bCs/>
                <w:sz w:val="20"/>
              </w:rPr>
            </w:pPr>
          </w:p>
        </w:tc>
      </w:tr>
      <w:tr w:rsidR="00C038C8" w:rsidRPr="00DB3851" w14:paraId="483C9ADC" w14:textId="77777777" w:rsidTr="005D52FE">
        <w:trPr>
          <w:trHeight w:val="420"/>
        </w:trPr>
        <w:tc>
          <w:tcPr>
            <w:tcW w:w="1838" w:type="dxa"/>
          </w:tcPr>
          <w:p w14:paraId="7660141F" w14:textId="77777777" w:rsidR="00C038C8" w:rsidRDefault="00C038C8" w:rsidP="00D77C2E">
            <w:pPr>
              <w:spacing w:before="60"/>
              <w:rPr>
                <w:b/>
                <w:bCs/>
                <w:color w:val="000000" w:themeColor="text1"/>
                <w:sz w:val="20"/>
              </w:rPr>
            </w:pPr>
          </w:p>
        </w:tc>
        <w:tc>
          <w:tcPr>
            <w:tcW w:w="3544" w:type="dxa"/>
            <w:shd w:val="clear" w:color="auto" w:fill="auto"/>
          </w:tcPr>
          <w:p w14:paraId="5EF0E0C5" w14:textId="77777777" w:rsidR="00C038C8" w:rsidRDefault="00C038C8" w:rsidP="00D77C2E">
            <w:pPr>
              <w:spacing w:before="60"/>
              <w:rPr>
                <w:b/>
                <w:bCs/>
                <w:color w:val="000000" w:themeColor="text1"/>
                <w:sz w:val="20"/>
              </w:rPr>
            </w:pPr>
          </w:p>
        </w:tc>
        <w:tc>
          <w:tcPr>
            <w:tcW w:w="9180" w:type="dxa"/>
            <w:shd w:val="clear" w:color="auto" w:fill="auto"/>
          </w:tcPr>
          <w:p w14:paraId="59EBDAFA" w14:textId="77777777" w:rsidR="00C038C8" w:rsidRDefault="00C038C8" w:rsidP="00D77C2E">
            <w:pPr>
              <w:pStyle w:val="Header"/>
              <w:spacing w:before="60" w:after="60"/>
              <w:rPr>
                <w:b/>
                <w:bCs/>
                <w:sz w:val="20"/>
              </w:rPr>
            </w:pPr>
          </w:p>
        </w:tc>
      </w:tr>
      <w:tr w:rsidR="00C038C8" w:rsidRPr="00DB3851" w14:paraId="50DCB5DB" w14:textId="77777777" w:rsidTr="005D52FE">
        <w:trPr>
          <w:trHeight w:val="420"/>
        </w:trPr>
        <w:tc>
          <w:tcPr>
            <w:tcW w:w="1838" w:type="dxa"/>
          </w:tcPr>
          <w:p w14:paraId="580DD54B" w14:textId="77777777" w:rsidR="00C038C8" w:rsidRDefault="00C038C8" w:rsidP="00D77C2E">
            <w:pPr>
              <w:spacing w:before="60"/>
              <w:rPr>
                <w:b/>
                <w:bCs/>
                <w:color w:val="000000" w:themeColor="text1"/>
                <w:sz w:val="20"/>
              </w:rPr>
            </w:pPr>
          </w:p>
        </w:tc>
        <w:tc>
          <w:tcPr>
            <w:tcW w:w="3544" w:type="dxa"/>
            <w:shd w:val="clear" w:color="auto" w:fill="auto"/>
          </w:tcPr>
          <w:p w14:paraId="25BC8340" w14:textId="77777777" w:rsidR="00C038C8" w:rsidRDefault="00C038C8" w:rsidP="00D77C2E">
            <w:pPr>
              <w:spacing w:before="60"/>
              <w:rPr>
                <w:b/>
                <w:bCs/>
                <w:color w:val="000000" w:themeColor="text1"/>
                <w:sz w:val="20"/>
              </w:rPr>
            </w:pPr>
          </w:p>
        </w:tc>
        <w:tc>
          <w:tcPr>
            <w:tcW w:w="9180" w:type="dxa"/>
            <w:shd w:val="clear" w:color="auto" w:fill="auto"/>
          </w:tcPr>
          <w:p w14:paraId="4C040265" w14:textId="77777777" w:rsidR="00C038C8" w:rsidRDefault="00C038C8" w:rsidP="00D77C2E">
            <w:pPr>
              <w:pStyle w:val="Header"/>
              <w:spacing w:before="60" w:after="60"/>
              <w:rPr>
                <w:b/>
                <w:bCs/>
                <w:sz w:val="20"/>
              </w:rPr>
            </w:pPr>
          </w:p>
        </w:tc>
      </w:tr>
      <w:tr w:rsidR="00C038C8" w:rsidRPr="00DB3851" w14:paraId="0B4E7969" w14:textId="77777777" w:rsidTr="005D52FE">
        <w:trPr>
          <w:trHeight w:val="420"/>
        </w:trPr>
        <w:tc>
          <w:tcPr>
            <w:tcW w:w="1838" w:type="dxa"/>
          </w:tcPr>
          <w:p w14:paraId="3E39723E" w14:textId="77777777" w:rsidR="00C038C8" w:rsidRDefault="00C038C8" w:rsidP="00D77C2E">
            <w:pPr>
              <w:spacing w:before="60"/>
              <w:rPr>
                <w:b/>
                <w:bCs/>
                <w:color w:val="000000" w:themeColor="text1"/>
                <w:sz w:val="20"/>
              </w:rPr>
            </w:pPr>
          </w:p>
        </w:tc>
        <w:tc>
          <w:tcPr>
            <w:tcW w:w="3544" w:type="dxa"/>
            <w:shd w:val="clear" w:color="auto" w:fill="auto"/>
          </w:tcPr>
          <w:p w14:paraId="3CE08CA4" w14:textId="77777777" w:rsidR="00C038C8" w:rsidRDefault="00C038C8" w:rsidP="00D77C2E">
            <w:pPr>
              <w:spacing w:before="60"/>
              <w:rPr>
                <w:b/>
                <w:bCs/>
                <w:color w:val="000000" w:themeColor="text1"/>
                <w:sz w:val="20"/>
              </w:rPr>
            </w:pPr>
          </w:p>
        </w:tc>
        <w:tc>
          <w:tcPr>
            <w:tcW w:w="9180" w:type="dxa"/>
            <w:shd w:val="clear" w:color="auto" w:fill="auto"/>
          </w:tcPr>
          <w:p w14:paraId="0D803A6F" w14:textId="77777777" w:rsidR="00C038C8" w:rsidRDefault="00C038C8" w:rsidP="00D77C2E">
            <w:pPr>
              <w:pStyle w:val="Header"/>
              <w:spacing w:before="60" w:after="60"/>
              <w:rPr>
                <w:b/>
                <w:bCs/>
                <w:sz w:val="20"/>
              </w:rPr>
            </w:pPr>
          </w:p>
        </w:tc>
      </w:tr>
      <w:tr w:rsidR="00C038C8" w:rsidRPr="00DB3851" w14:paraId="14E03BC7" w14:textId="77777777" w:rsidTr="005D52FE">
        <w:trPr>
          <w:trHeight w:val="420"/>
        </w:trPr>
        <w:tc>
          <w:tcPr>
            <w:tcW w:w="1838" w:type="dxa"/>
          </w:tcPr>
          <w:p w14:paraId="5C9476C0" w14:textId="77777777" w:rsidR="00C038C8" w:rsidRDefault="00C038C8" w:rsidP="00D77C2E">
            <w:pPr>
              <w:spacing w:before="60"/>
              <w:rPr>
                <w:b/>
                <w:bCs/>
                <w:color w:val="000000" w:themeColor="text1"/>
                <w:sz w:val="20"/>
              </w:rPr>
            </w:pPr>
          </w:p>
        </w:tc>
        <w:tc>
          <w:tcPr>
            <w:tcW w:w="3544" w:type="dxa"/>
            <w:shd w:val="clear" w:color="auto" w:fill="auto"/>
          </w:tcPr>
          <w:p w14:paraId="469C9A23" w14:textId="77777777" w:rsidR="00C038C8" w:rsidRDefault="00C038C8" w:rsidP="00D77C2E">
            <w:pPr>
              <w:spacing w:before="60"/>
              <w:rPr>
                <w:b/>
                <w:bCs/>
                <w:color w:val="000000" w:themeColor="text1"/>
                <w:sz w:val="20"/>
              </w:rPr>
            </w:pPr>
          </w:p>
        </w:tc>
        <w:tc>
          <w:tcPr>
            <w:tcW w:w="9180" w:type="dxa"/>
            <w:shd w:val="clear" w:color="auto" w:fill="auto"/>
          </w:tcPr>
          <w:p w14:paraId="00D20A42" w14:textId="77777777" w:rsidR="00C038C8" w:rsidRDefault="00C038C8" w:rsidP="00D77C2E">
            <w:pPr>
              <w:pStyle w:val="Header"/>
              <w:spacing w:before="60" w:after="60"/>
              <w:rPr>
                <w:b/>
                <w:bCs/>
                <w:sz w:val="20"/>
              </w:rPr>
            </w:pPr>
          </w:p>
        </w:tc>
      </w:tr>
      <w:tr w:rsidR="00C038C8" w:rsidRPr="00DB3851" w14:paraId="17B4E4FF" w14:textId="77777777" w:rsidTr="005D52FE">
        <w:trPr>
          <w:trHeight w:val="420"/>
        </w:trPr>
        <w:tc>
          <w:tcPr>
            <w:tcW w:w="1838" w:type="dxa"/>
          </w:tcPr>
          <w:p w14:paraId="796204CD" w14:textId="77777777" w:rsidR="00C038C8" w:rsidRDefault="00C038C8" w:rsidP="00D77C2E">
            <w:pPr>
              <w:spacing w:before="60"/>
              <w:rPr>
                <w:b/>
                <w:bCs/>
                <w:color w:val="000000" w:themeColor="text1"/>
                <w:sz w:val="20"/>
              </w:rPr>
            </w:pPr>
          </w:p>
        </w:tc>
        <w:tc>
          <w:tcPr>
            <w:tcW w:w="3544" w:type="dxa"/>
            <w:shd w:val="clear" w:color="auto" w:fill="auto"/>
          </w:tcPr>
          <w:p w14:paraId="405F2B10" w14:textId="77777777" w:rsidR="00C038C8" w:rsidRDefault="00C038C8" w:rsidP="00D77C2E">
            <w:pPr>
              <w:spacing w:before="60"/>
              <w:rPr>
                <w:b/>
                <w:bCs/>
                <w:color w:val="000000" w:themeColor="text1"/>
                <w:sz w:val="20"/>
              </w:rPr>
            </w:pPr>
          </w:p>
        </w:tc>
        <w:tc>
          <w:tcPr>
            <w:tcW w:w="9180" w:type="dxa"/>
            <w:shd w:val="clear" w:color="auto" w:fill="auto"/>
          </w:tcPr>
          <w:p w14:paraId="1E03ED57" w14:textId="77777777" w:rsidR="00C038C8" w:rsidRDefault="00C038C8" w:rsidP="00D77C2E">
            <w:pPr>
              <w:pStyle w:val="Header"/>
              <w:spacing w:before="60" w:after="60"/>
              <w:rPr>
                <w:b/>
                <w:bCs/>
                <w:sz w:val="20"/>
              </w:rPr>
            </w:pPr>
          </w:p>
        </w:tc>
      </w:tr>
      <w:tr w:rsidR="00C038C8" w:rsidRPr="00DB3851" w14:paraId="2940F346" w14:textId="77777777" w:rsidTr="005D52FE">
        <w:trPr>
          <w:trHeight w:val="420"/>
        </w:trPr>
        <w:tc>
          <w:tcPr>
            <w:tcW w:w="1838" w:type="dxa"/>
          </w:tcPr>
          <w:p w14:paraId="11C1BB91" w14:textId="77777777" w:rsidR="00C038C8" w:rsidRDefault="00C038C8" w:rsidP="00D77C2E">
            <w:pPr>
              <w:spacing w:before="60"/>
              <w:rPr>
                <w:b/>
                <w:bCs/>
                <w:color w:val="000000" w:themeColor="text1"/>
                <w:sz w:val="20"/>
              </w:rPr>
            </w:pPr>
          </w:p>
        </w:tc>
        <w:tc>
          <w:tcPr>
            <w:tcW w:w="3544" w:type="dxa"/>
            <w:shd w:val="clear" w:color="auto" w:fill="auto"/>
          </w:tcPr>
          <w:p w14:paraId="5045749A" w14:textId="77777777" w:rsidR="00C038C8" w:rsidRDefault="00C038C8" w:rsidP="00D77C2E">
            <w:pPr>
              <w:spacing w:before="60"/>
              <w:rPr>
                <w:b/>
                <w:bCs/>
                <w:color w:val="000000" w:themeColor="text1"/>
                <w:sz w:val="20"/>
              </w:rPr>
            </w:pPr>
          </w:p>
        </w:tc>
        <w:tc>
          <w:tcPr>
            <w:tcW w:w="9180" w:type="dxa"/>
            <w:shd w:val="clear" w:color="auto" w:fill="auto"/>
          </w:tcPr>
          <w:p w14:paraId="13972A5D" w14:textId="77777777" w:rsidR="00C038C8" w:rsidRDefault="00C038C8" w:rsidP="00D77C2E">
            <w:pPr>
              <w:pStyle w:val="Header"/>
              <w:spacing w:before="60" w:after="60"/>
              <w:rPr>
                <w:b/>
                <w:bCs/>
                <w:sz w:val="20"/>
              </w:rPr>
            </w:pPr>
          </w:p>
        </w:tc>
      </w:tr>
      <w:tr w:rsidR="00C038C8" w:rsidRPr="00DB3851" w14:paraId="53EAC166" w14:textId="77777777" w:rsidTr="005D52FE">
        <w:trPr>
          <w:trHeight w:val="420"/>
        </w:trPr>
        <w:tc>
          <w:tcPr>
            <w:tcW w:w="1838" w:type="dxa"/>
          </w:tcPr>
          <w:p w14:paraId="3BC194D4" w14:textId="77777777" w:rsidR="00C038C8" w:rsidRDefault="00C038C8" w:rsidP="00D77C2E">
            <w:pPr>
              <w:spacing w:before="60"/>
              <w:rPr>
                <w:b/>
                <w:bCs/>
                <w:color w:val="000000" w:themeColor="text1"/>
                <w:sz w:val="20"/>
              </w:rPr>
            </w:pPr>
          </w:p>
        </w:tc>
        <w:tc>
          <w:tcPr>
            <w:tcW w:w="3544" w:type="dxa"/>
            <w:shd w:val="clear" w:color="auto" w:fill="auto"/>
          </w:tcPr>
          <w:p w14:paraId="0C775F09" w14:textId="77777777" w:rsidR="00C038C8" w:rsidRDefault="00C038C8" w:rsidP="00D77C2E">
            <w:pPr>
              <w:spacing w:before="60"/>
              <w:rPr>
                <w:b/>
                <w:bCs/>
                <w:color w:val="000000" w:themeColor="text1"/>
                <w:sz w:val="20"/>
              </w:rPr>
            </w:pPr>
          </w:p>
        </w:tc>
        <w:tc>
          <w:tcPr>
            <w:tcW w:w="9180" w:type="dxa"/>
            <w:shd w:val="clear" w:color="auto" w:fill="auto"/>
          </w:tcPr>
          <w:p w14:paraId="5A85A3D3" w14:textId="77777777" w:rsidR="00C038C8" w:rsidRDefault="00C038C8" w:rsidP="00D77C2E">
            <w:pPr>
              <w:pStyle w:val="Header"/>
              <w:spacing w:before="60" w:after="60"/>
              <w:rPr>
                <w:b/>
                <w:bCs/>
                <w:sz w:val="20"/>
              </w:rPr>
            </w:pPr>
          </w:p>
        </w:tc>
      </w:tr>
      <w:tr w:rsidR="00C038C8" w:rsidRPr="00DB3851" w14:paraId="3E7257C1" w14:textId="77777777" w:rsidTr="005D52FE">
        <w:trPr>
          <w:trHeight w:val="420"/>
        </w:trPr>
        <w:tc>
          <w:tcPr>
            <w:tcW w:w="1838" w:type="dxa"/>
          </w:tcPr>
          <w:p w14:paraId="700A4789" w14:textId="77777777" w:rsidR="00C038C8" w:rsidRDefault="00C038C8" w:rsidP="00D77C2E">
            <w:pPr>
              <w:spacing w:before="60"/>
              <w:rPr>
                <w:b/>
                <w:bCs/>
                <w:color w:val="000000" w:themeColor="text1"/>
                <w:sz w:val="20"/>
              </w:rPr>
            </w:pPr>
          </w:p>
        </w:tc>
        <w:tc>
          <w:tcPr>
            <w:tcW w:w="3544" w:type="dxa"/>
            <w:shd w:val="clear" w:color="auto" w:fill="auto"/>
          </w:tcPr>
          <w:p w14:paraId="556738AC" w14:textId="77777777" w:rsidR="00C038C8" w:rsidRDefault="00C038C8" w:rsidP="00D77C2E">
            <w:pPr>
              <w:spacing w:before="60"/>
              <w:rPr>
                <w:b/>
                <w:bCs/>
                <w:color w:val="000000" w:themeColor="text1"/>
                <w:sz w:val="20"/>
              </w:rPr>
            </w:pPr>
          </w:p>
        </w:tc>
        <w:tc>
          <w:tcPr>
            <w:tcW w:w="9180" w:type="dxa"/>
            <w:shd w:val="clear" w:color="auto" w:fill="auto"/>
          </w:tcPr>
          <w:p w14:paraId="73F5F985" w14:textId="77777777" w:rsidR="00C038C8" w:rsidRDefault="00C038C8" w:rsidP="00D77C2E">
            <w:pPr>
              <w:pStyle w:val="Header"/>
              <w:spacing w:before="60" w:after="60"/>
              <w:rPr>
                <w:b/>
                <w:bCs/>
                <w:sz w:val="20"/>
              </w:rPr>
            </w:pPr>
          </w:p>
        </w:tc>
      </w:tr>
      <w:tr w:rsidR="00C038C8" w:rsidRPr="00DB3851" w14:paraId="42D69CC1" w14:textId="77777777" w:rsidTr="005D52FE">
        <w:trPr>
          <w:trHeight w:val="420"/>
        </w:trPr>
        <w:tc>
          <w:tcPr>
            <w:tcW w:w="1838" w:type="dxa"/>
          </w:tcPr>
          <w:p w14:paraId="439D6B71" w14:textId="77777777" w:rsidR="00C038C8" w:rsidRDefault="00C038C8" w:rsidP="00D77C2E">
            <w:pPr>
              <w:spacing w:before="60"/>
              <w:rPr>
                <w:b/>
                <w:bCs/>
                <w:color w:val="000000" w:themeColor="text1"/>
                <w:sz w:val="20"/>
              </w:rPr>
            </w:pPr>
          </w:p>
        </w:tc>
        <w:tc>
          <w:tcPr>
            <w:tcW w:w="3544" w:type="dxa"/>
            <w:shd w:val="clear" w:color="auto" w:fill="auto"/>
          </w:tcPr>
          <w:p w14:paraId="092FB036" w14:textId="77777777" w:rsidR="00C038C8" w:rsidRDefault="00C038C8" w:rsidP="00D77C2E">
            <w:pPr>
              <w:spacing w:before="60"/>
              <w:rPr>
                <w:b/>
                <w:bCs/>
                <w:color w:val="000000" w:themeColor="text1"/>
                <w:sz w:val="20"/>
              </w:rPr>
            </w:pPr>
          </w:p>
        </w:tc>
        <w:tc>
          <w:tcPr>
            <w:tcW w:w="9180" w:type="dxa"/>
            <w:shd w:val="clear" w:color="auto" w:fill="auto"/>
          </w:tcPr>
          <w:p w14:paraId="0587B926" w14:textId="77777777" w:rsidR="00C038C8" w:rsidRDefault="00C038C8" w:rsidP="00D77C2E">
            <w:pPr>
              <w:pStyle w:val="Header"/>
              <w:spacing w:before="60" w:after="60"/>
              <w:rPr>
                <w:b/>
                <w:bCs/>
                <w:sz w:val="20"/>
              </w:rPr>
            </w:pPr>
          </w:p>
        </w:tc>
      </w:tr>
    </w:tbl>
    <w:p w14:paraId="28065734" w14:textId="77777777" w:rsidR="000E55A2" w:rsidRDefault="000E55A2">
      <w:pPr>
        <w:widowControl/>
        <w:spacing w:after="0"/>
        <w:rPr>
          <w:b/>
          <w:color w:val="56AF34"/>
          <w:sz w:val="28"/>
        </w:rPr>
      </w:pPr>
      <w:r>
        <w:br w:type="page"/>
      </w:r>
    </w:p>
    <w:p w14:paraId="0F81FEEF" w14:textId="7BC3F7CC" w:rsidR="00FA5EF4" w:rsidRDefault="72644CC5" w:rsidP="005D52FE">
      <w:pPr>
        <w:pStyle w:val="Heading2"/>
      </w:pPr>
      <w:r>
        <w:lastRenderedPageBreak/>
        <w:t xml:space="preserve">Section </w:t>
      </w:r>
      <w:r w:rsidR="00FE0B46">
        <w:t>4</w:t>
      </w:r>
      <w:r>
        <w:t>: Responsibilities checklist template</w:t>
      </w:r>
    </w:p>
    <w:p w14:paraId="4991550D" w14:textId="7E4A25F3" w:rsidR="009B1361" w:rsidRDefault="009B1361" w:rsidP="771D8E93">
      <w:pPr>
        <w:spacing w:after="0"/>
      </w:pPr>
      <w:r>
        <w:t xml:space="preserve">Where providers are delivering courses leading to awards from other degree-awarding bodies or awarding organisations, it is imperative that review teams understand what the provider is responsible for and what the awarding body or organisation is responsible for. To help review team members reach this understanding, we ask providers to complete a copy of the </w:t>
      </w:r>
      <w:proofErr w:type="gramStart"/>
      <w:r>
        <w:t>responsibilit</w:t>
      </w:r>
      <w:r w:rsidR="00036F5E">
        <w:t>ies</w:t>
      </w:r>
      <w:proofErr w:type="gramEnd"/>
      <w:r>
        <w:t xml:space="preserve"> checklist below for each different partnership, and to send that checklist to QAA as part of the evidence base for the submission. </w:t>
      </w:r>
    </w:p>
    <w:p w14:paraId="03E7EE2F" w14:textId="77777777" w:rsidR="00062782" w:rsidRDefault="00062782" w:rsidP="771D8E93">
      <w:pPr>
        <w:spacing w:after="0"/>
      </w:pPr>
    </w:p>
    <w:p w14:paraId="3ECDA942" w14:textId="0463CE24" w:rsidR="72644CC5" w:rsidRDefault="009B1361" w:rsidP="771D8E93">
      <w:pPr>
        <w:spacing w:after="0"/>
      </w:pPr>
      <w:r>
        <w:t xml:space="preserve">Where the provider is fully responsible for the area or function in the left-hand column, please mark the </w:t>
      </w:r>
      <w:r w:rsidRPr="00470BD3">
        <w:rPr>
          <w:b/>
          <w:bCs/>
        </w:rPr>
        <w:t>provider</w:t>
      </w:r>
      <w:r>
        <w:t xml:space="preserve"> column; where the awarding body or organisation has full responsibility, mark the </w:t>
      </w:r>
      <w:r w:rsidRPr="002D540C">
        <w:rPr>
          <w:b/>
          <w:bCs/>
        </w:rPr>
        <w:t>awarding body/organisation</w:t>
      </w:r>
      <w:r>
        <w:t xml:space="preserve"> column; where responsibility is shared or the provider does something under the direction of the awarding body or organisation, mark the </w:t>
      </w:r>
      <w:r w:rsidRPr="002D540C">
        <w:rPr>
          <w:b/>
          <w:bCs/>
        </w:rPr>
        <w:t xml:space="preserve">shared </w:t>
      </w:r>
      <w:r>
        <w:t>column. There is also a notes column for any further information the provider would like to add</w:t>
      </w:r>
    </w:p>
    <w:p w14:paraId="56B8BFB6" w14:textId="089F9E15" w:rsidR="00FA5EF4" w:rsidRDefault="00FA5EF4" w:rsidP="00887FF3">
      <w:pPr>
        <w:spacing w:after="0"/>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4"/>
        <w:gridCol w:w="1119"/>
        <w:gridCol w:w="1154"/>
        <w:gridCol w:w="1226"/>
        <w:gridCol w:w="8083"/>
      </w:tblGrid>
      <w:tr w:rsidR="008A23F3" w14:paraId="235AFC91" w14:textId="77777777" w:rsidTr="00A8393B">
        <w:trPr>
          <w:trHeight w:val="724"/>
        </w:trPr>
        <w:tc>
          <w:tcPr>
            <w:tcW w:w="3014" w:type="dxa"/>
            <w:shd w:val="clear" w:color="auto" w:fill="C6EAB8"/>
          </w:tcPr>
          <w:p w14:paraId="37277330" w14:textId="11881B8D" w:rsidR="008A23F3" w:rsidRDefault="008A23F3" w:rsidP="00DD0ABF">
            <w:pPr>
              <w:pStyle w:val="TableParagraph"/>
              <w:ind w:left="57"/>
              <w:rPr>
                <w:b/>
              </w:rPr>
            </w:pPr>
            <w:r>
              <w:rPr>
                <w:b/>
              </w:rPr>
              <w:t>Name of awarding body or organisation</w:t>
            </w:r>
            <w:r w:rsidR="00955145">
              <w:rPr>
                <w:b/>
              </w:rPr>
              <w:t>:</w:t>
            </w:r>
          </w:p>
        </w:tc>
        <w:tc>
          <w:tcPr>
            <w:tcW w:w="11582" w:type="dxa"/>
            <w:gridSpan w:val="4"/>
          </w:tcPr>
          <w:p w14:paraId="7F7AC16A" w14:textId="77777777" w:rsidR="008A23F3" w:rsidRDefault="008A23F3" w:rsidP="00DD0ABF">
            <w:pPr>
              <w:pStyle w:val="TableParagraph"/>
              <w:ind w:left="57"/>
              <w:rPr>
                <w:rFonts w:ascii="Times New Roman"/>
              </w:rPr>
            </w:pPr>
          </w:p>
        </w:tc>
      </w:tr>
      <w:tr w:rsidR="005D52FE" w14:paraId="08069D71" w14:textId="77777777" w:rsidTr="00A8393B">
        <w:trPr>
          <w:trHeight w:val="726"/>
        </w:trPr>
        <w:tc>
          <w:tcPr>
            <w:tcW w:w="3014" w:type="dxa"/>
            <w:shd w:val="clear" w:color="auto" w:fill="D9D9D9"/>
          </w:tcPr>
          <w:p w14:paraId="7498004B" w14:textId="6B5E2B63" w:rsidR="008A23F3" w:rsidRDefault="008A23F3" w:rsidP="00DD0ABF">
            <w:pPr>
              <w:pStyle w:val="TableParagraph"/>
              <w:spacing w:line="250" w:lineRule="exact"/>
              <w:ind w:left="57"/>
              <w:rPr>
                <w:b/>
              </w:rPr>
            </w:pPr>
            <w:r>
              <w:rPr>
                <w:b/>
              </w:rPr>
              <w:t>Area or function</w:t>
            </w:r>
          </w:p>
        </w:tc>
        <w:tc>
          <w:tcPr>
            <w:tcW w:w="1119" w:type="dxa"/>
            <w:shd w:val="clear" w:color="auto" w:fill="D9D9D9"/>
          </w:tcPr>
          <w:p w14:paraId="0650313D" w14:textId="77777777" w:rsidR="008A23F3" w:rsidRDefault="008A23F3" w:rsidP="00DD0ABF">
            <w:pPr>
              <w:pStyle w:val="TableParagraph"/>
              <w:spacing w:line="250" w:lineRule="exact"/>
              <w:ind w:left="57"/>
              <w:jc w:val="center"/>
              <w:rPr>
                <w:b/>
              </w:rPr>
            </w:pPr>
            <w:r>
              <w:rPr>
                <w:b/>
              </w:rPr>
              <w:t>Provider</w:t>
            </w:r>
          </w:p>
        </w:tc>
        <w:tc>
          <w:tcPr>
            <w:tcW w:w="1154" w:type="dxa"/>
            <w:shd w:val="clear" w:color="auto" w:fill="D9D9D9"/>
          </w:tcPr>
          <w:p w14:paraId="4D7DAB87" w14:textId="186DA951" w:rsidR="008A23F3" w:rsidRPr="00A16431" w:rsidRDefault="008A23F3" w:rsidP="00DD0ABF">
            <w:pPr>
              <w:ind w:left="57"/>
              <w:jc w:val="center"/>
              <w:rPr>
                <w:b/>
                <w:bCs/>
              </w:rPr>
            </w:pPr>
            <w:r w:rsidRPr="00A16431">
              <w:rPr>
                <w:b/>
                <w:bCs/>
              </w:rPr>
              <w:t>Awarding body/</w:t>
            </w:r>
            <w:r w:rsidR="00A16431" w:rsidRPr="00DD0ABF">
              <w:rPr>
                <w:b/>
                <w:bCs/>
              </w:rPr>
              <w:t xml:space="preserve">     </w:t>
            </w:r>
            <w:r w:rsidRPr="00A16431">
              <w:rPr>
                <w:b/>
                <w:bCs/>
              </w:rPr>
              <w:t>org</w:t>
            </w:r>
            <w:r w:rsidR="000B2C7E" w:rsidRPr="00A16431">
              <w:rPr>
                <w:b/>
                <w:bCs/>
              </w:rPr>
              <w:t>an</w:t>
            </w:r>
            <w:r w:rsidRPr="00A16431">
              <w:rPr>
                <w:b/>
                <w:bCs/>
              </w:rPr>
              <w:t>isation</w:t>
            </w:r>
          </w:p>
        </w:tc>
        <w:tc>
          <w:tcPr>
            <w:tcW w:w="1226" w:type="dxa"/>
            <w:shd w:val="clear" w:color="auto" w:fill="D9D9D9"/>
          </w:tcPr>
          <w:p w14:paraId="692A46FD" w14:textId="77777777" w:rsidR="008A23F3" w:rsidRDefault="008A23F3" w:rsidP="00DD0ABF">
            <w:pPr>
              <w:pStyle w:val="TableParagraph"/>
              <w:spacing w:line="250" w:lineRule="exact"/>
              <w:ind w:left="57"/>
              <w:jc w:val="center"/>
              <w:rPr>
                <w:b/>
              </w:rPr>
            </w:pPr>
            <w:r>
              <w:rPr>
                <w:b/>
              </w:rPr>
              <w:t>Shared</w:t>
            </w:r>
          </w:p>
        </w:tc>
        <w:tc>
          <w:tcPr>
            <w:tcW w:w="8083" w:type="dxa"/>
            <w:shd w:val="clear" w:color="auto" w:fill="D9D9D9"/>
          </w:tcPr>
          <w:p w14:paraId="15F235CC" w14:textId="77777777" w:rsidR="008A23F3" w:rsidRDefault="008A23F3" w:rsidP="00DD0ABF">
            <w:pPr>
              <w:pStyle w:val="TableParagraph"/>
              <w:spacing w:line="250" w:lineRule="exact"/>
              <w:ind w:left="57" w:right="1012"/>
              <w:jc w:val="center"/>
              <w:rPr>
                <w:b/>
              </w:rPr>
            </w:pPr>
            <w:r>
              <w:rPr>
                <w:b/>
              </w:rPr>
              <w:t>Notes</w:t>
            </w:r>
          </w:p>
        </w:tc>
      </w:tr>
      <w:tr w:rsidR="008A23F3" w14:paraId="78B0EA27" w14:textId="77777777" w:rsidTr="00A8393B">
        <w:trPr>
          <w:trHeight w:val="568"/>
        </w:trPr>
        <w:tc>
          <w:tcPr>
            <w:tcW w:w="3014" w:type="dxa"/>
          </w:tcPr>
          <w:p w14:paraId="00D2B2B9" w14:textId="77777777" w:rsidR="008A23F3" w:rsidRDefault="008A23F3" w:rsidP="00DD0ABF">
            <w:pPr>
              <w:pStyle w:val="TableParagraph"/>
              <w:ind w:left="57" w:right="451"/>
            </w:pPr>
            <w:r>
              <w:t>Use of external expertise in maintaining academic standards</w:t>
            </w:r>
          </w:p>
        </w:tc>
        <w:tc>
          <w:tcPr>
            <w:tcW w:w="1119" w:type="dxa"/>
          </w:tcPr>
          <w:p w14:paraId="2E1F1F4D" w14:textId="77777777" w:rsidR="008A23F3" w:rsidRDefault="008A23F3" w:rsidP="00BC12F4">
            <w:pPr>
              <w:pStyle w:val="TableParagraph"/>
              <w:jc w:val="center"/>
              <w:rPr>
                <w:rFonts w:ascii="Times New Roman"/>
              </w:rPr>
            </w:pPr>
          </w:p>
        </w:tc>
        <w:tc>
          <w:tcPr>
            <w:tcW w:w="1154" w:type="dxa"/>
          </w:tcPr>
          <w:p w14:paraId="7B009A5F" w14:textId="77777777" w:rsidR="008A23F3" w:rsidRDefault="008A23F3" w:rsidP="00BC12F4">
            <w:pPr>
              <w:pStyle w:val="TableParagraph"/>
              <w:jc w:val="center"/>
              <w:rPr>
                <w:rFonts w:ascii="Times New Roman"/>
              </w:rPr>
            </w:pPr>
          </w:p>
        </w:tc>
        <w:tc>
          <w:tcPr>
            <w:tcW w:w="1226" w:type="dxa"/>
          </w:tcPr>
          <w:p w14:paraId="612F2C34" w14:textId="77777777" w:rsidR="008A23F3" w:rsidRDefault="008A23F3" w:rsidP="00BC12F4">
            <w:pPr>
              <w:pStyle w:val="TableParagraph"/>
              <w:jc w:val="center"/>
              <w:rPr>
                <w:rFonts w:ascii="Times New Roman"/>
              </w:rPr>
            </w:pPr>
          </w:p>
        </w:tc>
        <w:tc>
          <w:tcPr>
            <w:tcW w:w="8083" w:type="dxa"/>
          </w:tcPr>
          <w:p w14:paraId="69BFA885" w14:textId="77777777" w:rsidR="008A23F3" w:rsidRDefault="008A23F3" w:rsidP="0041143A">
            <w:pPr>
              <w:pStyle w:val="TableParagraph"/>
              <w:rPr>
                <w:rFonts w:ascii="Times New Roman"/>
              </w:rPr>
            </w:pPr>
          </w:p>
        </w:tc>
      </w:tr>
      <w:tr w:rsidR="008A23F3" w14:paraId="7EC1291D" w14:textId="77777777" w:rsidTr="00A8393B">
        <w:trPr>
          <w:trHeight w:val="567"/>
        </w:trPr>
        <w:tc>
          <w:tcPr>
            <w:tcW w:w="3014" w:type="dxa"/>
          </w:tcPr>
          <w:p w14:paraId="3613D354" w14:textId="77777777" w:rsidR="008A23F3" w:rsidRDefault="008A23F3" w:rsidP="00DD0ABF">
            <w:pPr>
              <w:pStyle w:val="TableParagraph"/>
              <w:spacing w:line="250" w:lineRule="exact"/>
              <w:ind w:left="57"/>
            </w:pPr>
            <w:r>
              <w:t>Course design and/or delivery</w:t>
            </w:r>
          </w:p>
        </w:tc>
        <w:tc>
          <w:tcPr>
            <w:tcW w:w="1119" w:type="dxa"/>
          </w:tcPr>
          <w:p w14:paraId="319F0C6B" w14:textId="77777777" w:rsidR="008A23F3" w:rsidRDefault="008A23F3" w:rsidP="00BC12F4">
            <w:pPr>
              <w:pStyle w:val="TableParagraph"/>
              <w:jc w:val="center"/>
              <w:rPr>
                <w:rFonts w:ascii="Times New Roman"/>
              </w:rPr>
            </w:pPr>
          </w:p>
        </w:tc>
        <w:tc>
          <w:tcPr>
            <w:tcW w:w="1154" w:type="dxa"/>
          </w:tcPr>
          <w:p w14:paraId="3DAC229D" w14:textId="77777777" w:rsidR="008A23F3" w:rsidRDefault="008A23F3" w:rsidP="00BC12F4">
            <w:pPr>
              <w:pStyle w:val="TableParagraph"/>
              <w:jc w:val="center"/>
              <w:rPr>
                <w:rFonts w:ascii="Times New Roman"/>
              </w:rPr>
            </w:pPr>
          </w:p>
        </w:tc>
        <w:tc>
          <w:tcPr>
            <w:tcW w:w="1226" w:type="dxa"/>
          </w:tcPr>
          <w:p w14:paraId="0FB8AE4A" w14:textId="77777777" w:rsidR="008A23F3" w:rsidRDefault="008A23F3" w:rsidP="00BC12F4">
            <w:pPr>
              <w:pStyle w:val="TableParagraph"/>
              <w:jc w:val="center"/>
              <w:rPr>
                <w:rFonts w:ascii="Times New Roman"/>
              </w:rPr>
            </w:pPr>
          </w:p>
        </w:tc>
        <w:tc>
          <w:tcPr>
            <w:tcW w:w="8083" w:type="dxa"/>
          </w:tcPr>
          <w:p w14:paraId="3B030AC6" w14:textId="77777777" w:rsidR="008A23F3" w:rsidRDefault="008A23F3" w:rsidP="0041143A">
            <w:pPr>
              <w:pStyle w:val="TableParagraph"/>
              <w:rPr>
                <w:rFonts w:ascii="Times New Roman"/>
              </w:rPr>
            </w:pPr>
          </w:p>
        </w:tc>
      </w:tr>
      <w:tr w:rsidR="008A23F3" w14:paraId="49D15D22" w14:textId="77777777" w:rsidTr="00A8393B">
        <w:trPr>
          <w:trHeight w:val="567"/>
        </w:trPr>
        <w:tc>
          <w:tcPr>
            <w:tcW w:w="3014" w:type="dxa"/>
          </w:tcPr>
          <w:p w14:paraId="53533FE9" w14:textId="77777777" w:rsidR="008A23F3" w:rsidRDefault="008A23F3" w:rsidP="00DD0ABF">
            <w:pPr>
              <w:pStyle w:val="TableParagraph"/>
              <w:spacing w:line="250" w:lineRule="exact"/>
              <w:ind w:left="57"/>
            </w:pPr>
            <w:r>
              <w:t>Setting assessments</w:t>
            </w:r>
          </w:p>
        </w:tc>
        <w:tc>
          <w:tcPr>
            <w:tcW w:w="1119" w:type="dxa"/>
          </w:tcPr>
          <w:p w14:paraId="3BC7A995" w14:textId="77777777" w:rsidR="008A23F3" w:rsidRDefault="008A23F3" w:rsidP="00BC12F4">
            <w:pPr>
              <w:pStyle w:val="TableParagraph"/>
              <w:jc w:val="center"/>
              <w:rPr>
                <w:rFonts w:ascii="Times New Roman"/>
              </w:rPr>
            </w:pPr>
          </w:p>
        </w:tc>
        <w:tc>
          <w:tcPr>
            <w:tcW w:w="1154" w:type="dxa"/>
          </w:tcPr>
          <w:p w14:paraId="75C18E18" w14:textId="77777777" w:rsidR="008A23F3" w:rsidRDefault="008A23F3" w:rsidP="00BC12F4">
            <w:pPr>
              <w:pStyle w:val="TableParagraph"/>
              <w:jc w:val="center"/>
              <w:rPr>
                <w:rFonts w:ascii="Times New Roman"/>
              </w:rPr>
            </w:pPr>
          </w:p>
        </w:tc>
        <w:tc>
          <w:tcPr>
            <w:tcW w:w="1226" w:type="dxa"/>
          </w:tcPr>
          <w:p w14:paraId="1D752E2D" w14:textId="77777777" w:rsidR="008A23F3" w:rsidRDefault="008A23F3" w:rsidP="00BC12F4">
            <w:pPr>
              <w:pStyle w:val="TableParagraph"/>
              <w:jc w:val="center"/>
              <w:rPr>
                <w:rFonts w:ascii="Times New Roman"/>
              </w:rPr>
            </w:pPr>
          </w:p>
        </w:tc>
        <w:tc>
          <w:tcPr>
            <w:tcW w:w="8083" w:type="dxa"/>
          </w:tcPr>
          <w:p w14:paraId="337926C7" w14:textId="77777777" w:rsidR="008A23F3" w:rsidRDefault="008A23F3" w:rsidP="0041143A">
            <w:pPr>
              <w:pStyle w:val="TableParagraph"/>
              <w:rPr>
                <w:rFonts w:ascii="Times New Roman"/>
              </w:rPr>
            </w:pPr>
          </w:p>
        </w:tc>
      </w:tr>
      <w:tr w:rsidR="008A23F3" w14:paraId="1667BA33" w14:textId="77777777" w:rsidTr="00A8393B">
        <w:trPr>
          <w:trHeight w:val="567"/>
        </w:trPr>
        <w:tc>
          <w:tcPr>
            <w:tcW w:w="3014" w:type="dxa"/>
          </w:tcPr>
          <w:p w14:paraId="7FEECE12" w14:textId="77777777" w:rsidR="008A23F3" w:rsidRDefault="008A23F3" w:rsidP="00DD0ABF">
            <w:pPr>
              <w:pStyle w:val="TableParagraph"/>
              <w:spacing w:line="250" w:lineRule="exact"/>
              <w:ind w:left="57"/>
            </w:pPr>
            <w:r>
              <w:t>First marking of student work</w:t>
            </w:r>
          </w:p>
        </w:tc>
        <w:tc>
          <w:tcPr>
            <w:tcW w:w="1119" w:type="dxa"/>
          </w:tcPr>
          <w:p w14:paraId="076477E3" w14:textId="77777777" w:rsidR="008A23F3" w:rsidRDefault="008A23F3" w:rsidP="00BC12F4">
            <w:pPr>
              <w:pStyle w:val="TableParagraph"/>
              <w:jc w:val="center"/>
              <w:rPr>
                <w:rFonts w:ascii="Times New Roman"/>
              </w:rPr>
            </w:pPr>
          </w:p>
        </w:tc>
        <w:tc>
          <w:tcPr>
            <w:tcW w:w="1154" w:type="dxa"/>
          </w:tcPr>
          <w:p w14:paraId="3457EFF2" w14:textId="77777777" w:rsidR="008A23F3" w:rsidRDefault="008A23F3" w:rsidP="00BC12F4">
            <w:pPr>
              <w:pStyle w:val="TableParagraph"/>
              <w:jc w:val="center"/>
              <w:rPr>
                <w:rFonts w:ascii="Times New Roman"/>
              </w:rPr>
            </w:pPr>
          </w:p>
        </w:tc>
        <w:tc>
          <w:tcPr>
            <w:tcW w:w="1226" w:type="dxa"/>
          </w:tcPr>
          <w:p w14:paraId="2C9CDE66" w14:textId="77777777" w:rsidR="008A23F3" w:rsidRDefault="008A23F3" w:rsidP="00BC12F4">
            <w:pPr>
              <w:pStyle w:val="TableParagraph"/>
              <w:jc w:val="center"/>
              <w:rPr>
                <w:rFonts w:ascii="Times New Roman"/>
              </w:rPr>
            </w:pPr>
          </w:p>
        </w:tc>
        <w:tc>
          <w:tcPr>
            <w:tcW w:w="8083" w:type="dxa"/>
          </w:tcPr>
          <w:p w14:paraId="190CAD79" w14:textId="77777777" w:rsidR="008A23F3" w:rsidRDefault="008A23F3" w:rsidP="0041143A">
            <w:pPr>
              <w:pStyle w:val="TableParagraph"/>
              <w:rPr>
                <w:rFonts w:ascii="Times New Roman"/>
              </w:rPr>
            </w:pPr>
          </w:p>
        </w:tc>
      </w:tr>
      <w:tr w:rsidR="008A23F3" w14:paraId="29121956" w14:textId="77777777" w:rsidTr="00A8393B">
        <w:trPr>
          <w:trHeight w:val="567"/>
        </w:trPr>
        <w:tc>
          <w:tcPr>
            <w:tcW w:w="3014" w:type="dxa"/>
          </w:tcPr>
          <w:p w14:paraId="245EF5B2" w14:textId="77777777" w:rsidR="008A23F3" w:rsidRDefault="008A23F3" w:rsidP="00DD0ABF">
            <w:pPr>
              <w:pStyle w:val="TableParagraph"/>
              <w:ind w:left="57" w:right="145"/>
            </w:pPr>
            <w:r>
              <w:t>Moderation or second marking of student work</w:t>
            </w:r>
          </w:p>
        </w:tc>
        <w:tc>
          <w:tcPr>
            <w:tcW w:w="1119" w:type="dxa"/>
          </w:tcPr>
          <w:p w14:paraId="6A0465DC" w14:textId="77777777" w:rsidR="008A23F3" w:rsidRDefault="008A23F3" w:rsidP="00BC12F4">
            <w:pPr>
              <w:pStyle w:val="TableParagraph"/>
              <w:jc w:val="center"/>
              <w:rPr>
                <w:rFonts w:ascii="Times New Roman"/>
              </w:rPr>
            </w:pPr>
          </w:p>
        </w:tc>
        <w:tc>
          <w:tcPr>
            <w:tcW w:w="1154" w:type="dxa"/>
          </w:tcPr>
          <w:p w14:paraId="45C48B9A" w14:textId="77777777" w:rsidR="008A23F3" w:rsidRDefault="008A23F3" w:rsidP="00BC12F4">
            <w:pPr>
              <w:pStyle w:val="TableParagraph"/>
              <w:jc w:val="center"/>
              <w:rPr>
                <w:rFonts w:ascii="Times New Roman"/>
              </w:rPr>
            </w:pPr>
          </w:p>
        </w:tc>
        <w:tc>
          <w:tcPr>
            <w:tcW w:w="1226" w:type="dxa"/>
          </w:tcPr>
          <w:p w14:paraId="202C7541" w14:textId="77777777" w:rsidR="008A23F3" w:rsidRDefault="008A23F3" w:rsidP="00BC12F4">
            <w:pPr>
              <w:pStyle w:val="TableParagraph"/>
              <w:jc w:val="center"/>
              <w:rPr>
                <w:rFonts w:ascii="Times New Roman"/>
              </w:rPr>
            </w:pPr>
          </w:p>
        </w:tc>
        <w:tc>
          <w:tcPr>
            <w:tcW w:w="8083" w:type="dxa"/>
          </w:tcPr>
          <w:p w14:paraId="649AFE13" w14:textId="77777777" w:rsidR="008A23F3" w:rsidRDefault="008A23F3" w:rsidP="0041143A">
            <w:pPr>
              <w:pStyle w:val="TableParagraph"/>
              <w:rPr>
                <w:rFonts w:ascii="Times New Roman"/>
              </w:rPr>
            </w:pPr>
          </w:p>
        </w:tc>
      </w:tr>
      <w:tr w:rsidR="008A23F3" w14:paraId="0FA73611" w14:textId="77777777" w:rsidTr="00A8393B">
        <w:trPr>
          <w:trHeight w:val="567"/>
        </w:trPr>
        <w:tc>
          <w:tcPr>
            <w:tcW w:w="3014" w:type="dxa"/>
          </w:tcPr>
          <w:p w14:paraId="3662CA70" w14:textId="77777777" w:rsidR="008A23F3" w:rsidRDefault="008A23F3" w:rsidP="00DD0ABF">
            <w:pPr>
              <w:pStyle w:val="TableParagraph"/>
              <w:ind w:left="57" w:right="96"/>
            </w:pPr>
            <w:r>
              <w:t>Giving feedback to students on their work</w:t>
            </w:r>
          </w:p>
        </w:tc>
        <w:tc>
          <w:tcPr>
            <w:tcW w:w="1119" w:type="dxa"/>
          </w:tcPr>
          <w:p w14:paraId="06FD0E7F" w14:textId="77777777" w:rsidR="008A23F3" w:rsidRDefault="008A23F3" w:rsidP="00BC12F4">
            <w:pPr>
              <w:pStyle w:val="TableParagraph"/>
              <w:jc w:val="center"/>
              <w:rPr>
                <w:rFonts w:ascii="Times New Roman"/>
              </w:rPr>
            </w:pPr>
          </w:p>
        </w:tc>
        <w:tc>
          <w:tcPr>
            <w:tcW w:w="1154" w:type="dxa"/>
          </w:tcPr>
          <w:p w14:paraId="3521CF84" w14:textId="77777777" w:rsidR="008A23F3" w:rsidRDefault="008A23F3" w:rsidP="00BC12F4">
            <w:pPr>
              <w:pStyle w:val="TableParagraph"/>
              <w:jc w:val="center"/>
              <w:rPr>
                <w:rFonts w:ascii="Times New Roman"/>
              </w:rPr>
            </w:pPr>
          </w:p>
        </w:tc>
        <w:tc>
          <w:tcPr>
            <w:tcW w:w="1226" w:type="dxa"/>
          </w:tcPr>
          <w:p w14:paraId="6D22C953" w14:textId="77777777" w:rsidR="008A23F3" w:rsidRDefault="008A23F3" w:rsidP="00BC12F4">
            <w:pPr>
              <w:pStyle w:val="TableParagraph"/>
              <w:jc w:val="center"/>
              <w:rPr>
                <w:rFonts w:ascii="Times New Roman"/>
              </w:rPr>
            </w:pPr>
          </w:p>
        </w:tc>
        <w:tc>
          <w:tcPr>
            <w:tcW w:w="8083" w:type="dxa"/>
          </w:tcPr>
          <w:p w14:paraId="6A927534" w14:textId="77777777" w:rsidR="008A23F3" w:rsidRDefault="008A23F3" w:rsidP="0041143A">
            <w:pPr>
              <w:pStyle w:val="TableParagraph"/>
              <w:rPr>
                <w:rFonts w:ascii="Times New Roman"/>
              </w:rPr>
            </w:pPr>
          </w:p>
        </w:tc>
      </w:tr>
      <w:tr w:rsidR="008A23F3" w14:paraId="6FA0492D" w14:textId="77777777" w:rsidTr="00A8393B">
        <w:trPr>
          <w:trHeight w:val="567"/>
        </w:trPr>
        <w:tc>
          <w:tcPr>
            <w:tcW w:w="3014" w:type="dxa"/>
          </w:tcPr>
          <w:p w14:paraId="1CD1EC6A" w14:textId="77777777" w:rsidR="008A23F3" w:rsidRDefault="008A23F3" w:rsidP="00DD0ABF">
            <w:pPr>
              <w:pStyle w:val="TableParagraph"/>
              <w:spacing w:line="250" w:lineRule="exact"/>
              <w:ind w:left="57"/>
            </w:pPr>
            <w:r>
              <w:lastRenderedPageBreak/>
              <w:t>Student recruitment</w:t>
            </w:r>
          </w:p>
        </w:tc>
        <w:tc>
          <w:tcPr>
            <w:tcW w:w="1119" w:type="dxa"/>
          </w:tcPr>
          <w:p w14:paraId="3C6767DD" w14:textId="77777777" w:rsidR="008A23F3" w:rsidRDefault="008A23F3" w:rsidP="00BC12F4">
            <w:pPr>
              <w:pStyle w:val="TableParagraph"/>
              <w:jc w:val="center"/>
              <w:rPr>
                <w:rFonts w:ascii="Times New Roman"/>
              </w:rPr>
            </w:pPr>
          </w:p>
        </w:tc>
        <w:tc>
          <w:tcPr>
            <w:tcW w:w="1154" w:type="dxa"/>
          </w:tcPr>
          <w:p w14:paraId="66085C74" w14:textId="77777777" w:rsidR="008A23F3" w:rsidRDefault="008A23F3" w:rsidP="00BC12F4">
            <w:pPr>
              <w:pStyle w:val="TableParagraph"/>
              <w:jc w:val="center"/>
              <w:rPr>
                <w:rFonts w:ascii="Times New Roman"/>
              </w:rPr>
            </w:pPr>
          </w:p>
        </w:tc>
        <w:tc>
          <w:tcPr>
            <w:tcW w:w="1226" w:type="dxa"/>
          </w:tcPr>
          <w:p w14:paraId="69CFBFCE" w14:textId="77777777" w:rsidR="008A23F3" w:rsidRDefault="008A23F3" w:rsidP="00BC12F4">
            <w:pPr>
              <w:pStyle w:val="TableParagraph"/>
              <w:jc w:val="center"/>
              <w:rPr>
                <w:rFonts w:ascii="Times New Roman"/>
              </w:rPr>
            </w:pPr>
          </w:p>
        </w:tc>
        <w:tc>
          <w:tcPr>
            <w:tcW w:w="8083" w:type="dxa"/>
          </w:tcPr>
          <w:p w14:paraId="61FE30BA" w14:textId="77777777" w:rsidR="008A23F3" w:rsidRDefault="008A23F3" w:rsidP="0041143A">
            <w:pPr>
              <w:pStyle w:val="TableParagraph"/>
              <w:rPr>
                <w:rFonts w:ascii="Times New Roman"/>
              </w:rPr>
            </w:pPr>
          </w:p>
        </w:tc>
      </w:tr>
      <w:tr w:rsidR="008A23F3" w14:paraId="4E95A3EE" w14:textId="77777777" w:rsidTr="00A8393B">
        <w:trPr>
          <w:trHeight w:val="567"/>
        </w:trPr>
        <w:tc>
          <w:tcPr>
            <w:tcW w:w="3014" w:type="dxa"/>
          </w:tcPr>
          <w:p w14:paraId="73243BFB" w14:textId="77777777" w:rsidR="008A23F3" w:rsidRDefault="008A23F3" w:rsidP="00DD0ABF">
            <w:pPr>
              <w:pStyle w:val="TableParagraph"/>
              <w:ind w:left="57"/>
            </w:pPr>
            <w:r>
              <w:t>Student admissions</w:t>
            </w:r>
          </w:p>
        </w:tc>
        <w:tc>
          <w:tcPr>
            <w:tcW w:w="1119" w:type="dxa"/>
          </w:tcPr>
          <w:p w14:paraId="501DF71B" w14:textId="77777777" w:rsidR="008A23F3" w:rsidRDefault="008A23F3" w:rsidP="00BC12F4">
            <w:pPr>
              <w:pStyle w:val="TableParagraph"/>
              <w:jc w:val="center"/>
              <w:rPr>
                <w:rFonts w:ascii="Times New Roman"/>
              </w:rPr>
            </w:pPr>
          </w:p>
        </w:tc>
        <w:tc>
          <w:tcPr>
            <w:tcW w:w="1154" w:type="dxa"/>
          </w:tcPr>
          <w:p w14:paraId="289DA871" w14:textId="77777777" w:rsidR="008A23F3" w:rsidRDefault="008A23F3" w:rsidP="00BC12F4">
            <w:pPr>
              <w:pStyle w:val="TableParagraph"/>
              <w:jc w:val="center"/>
              <w:rPr>
                <w:rFonts w:ascii="Times New Roman"/>
              </w:rPr>
            </w:pPr>
          </w:p>
        </w:tc>
        <w:tc>
          <w:tcPr>
            <w:tcW w:w="1226" w:type="dxa"/>
          </w:tcPr>
          <w:p w14:paraId="4353C487" w14:textId="77777777" w:rsidR="008A23F3" w:rsidRDefault="008A23F3" w:rsidP="00BC12F4">
            <w:pPr>
              <w:pStyle w:val="TableParagraph"/>
              <w:jc w:val="center"/>
              <w:rPr>
                <w:rFonts w:ascii="Times New Roman"/>
              </w:rPr>
            </w:pPr>
          </w:p>
        </w:tc>
        <w:tc>
          <w:tcPr>
            <w:tcW w:w="8083" w:type="dxa"/>
          </w:tcPr>
          <w:p w14:paraId="7FA741D6" w14:textId="77777777" w:rsidR="008A23F3" w:rsidRDefault="008A23F3" w:rsidP="0041143A">
            <w:pPr>
              <w:pStyle w:val="TableParagraph"/>
              <w:rPr>
                <w:rFonts w:ascii="Times New Roman"/>
              </w:rPr>
            </w:pPr>
          </w:p>
        </w:tc>
      </w:tr>
      <w:tr w:rsidR="008A23F3" w14:paraId="73AEB0EF" w14:textId="77777777" w:rsidTr="00A8393B">
        <w:trPr>
          <w:trHeight w:val="567"/>
        </w:trPr>
        <w:tc>
          <w:tcPr>
            <w:tcW w:w="3014" w:type="dxa"/>
          </w:tcPr>
          <w:p w14:paraId="5DBEBE98" w14:textId="77777777" w:rsidR="008A23F3" w:rsidRDefault="008A23F3" w:rsidP="00DD0ABF">
            <w:pPr>
              <w:pStyle w:val="TableParagraph"/>
              <w:spacing w:line="250" w:lineRule="exact"/>
              <w:ind w:left="57"/>
            </w:pPr>
            <w:r>
              <w:t>Widening access</w:t>
            </w:r>
          </w:p>
        </w:tc>
        <w:tc>
          <w:tcPr>
            <w:tcW w:w="1119" w:type="dxa"/>
          </w:tcPr>
          <w:p w14:paraId="79A2C4F3" w14:textId="77777777" w:rsidR="008A23F3" w:rsidRDefault="008A23F3" w:rsidP="00BC12F4">
            <w:pPr>
              <w:pStyle w:val="TableParagraph"/>
              <w:jc w:val="center"/>
              <w:rPr>
                <w:rFonts w:ascii="Times New Roman"/>
              </w:rPr>
            </w:pPr>
          </w:p>
        </w:tc>
        <w:tc>
          <w:tcPr>
            <w:tcW w:w="1154" w:type="dxa"/>
          </w:tcPr>
          <w:p w14:paraId="746AA884" w14:textId="77777777" w:rsidR="008A23F3" w:rsidRDefault="008A23F3" w:rsidP="00BC12F4">
            <w:pPr>
              <w:pStyle w:val="TableParagraph"/>
              <w:jc w:val="center"/>
              <w:rPr>
                <w:rFonts w:ascii="Times New Roman"/>
              </w:rPr>
            </w:pPr>
          </w:p>
        </w:tc>
        <w:tc>
          <w:tcPr>
            <w:tcW w:w="1226" w:type="dxa"/>
          </w:tcPr>
          <w:p w14:paraId="3ACFD51A" w14:textId="77777777" w:rsidR="008A23F3" w:rsidRDefault="008A23F3" w:rsidP="00BC12F4">
            <w:pPr>
              <w:pStyle w:val="TableParagraph"/>
              <w:jc w:val="center"/>
              <w:rPr>
                <w:rFonts w:ascii="Times New Roman"/>
              </w:rPr>
            </w:pPr>
          </w:p>
        </w:tc>
        <w:tc>
          <w:tcPr>
            <w:tcW w:w="8083" w:type="dxa"/>
          </w:tcPr>
          <w:p w14:paraId="522F17BE" w14:textId="77777777" w:rsidR="008A23F3" w:rsidRDefault="008A23F3" w:rsidP="0041143A">
            <w:pPr>
              <w:pStyle w:val="TableParagraph"/>
              <w:rPr>
                <w:rFonts w:ascii="Times New Roman"/>
              </w:rPr>
            </w:pPr>
          </w:p>
        </w:tc>
      </w:tr>
      <w:tr w:rsidR="008A23F3" w14:paraId="11EA3088" w14:textId="77777777" w:rsidTr="00A8393B">
        <w:trPr>
          <w:trHeight w:val="567"/>
        </w:trPr>
        <w:tc>
          <w:tcPr>
            <w:tcW w:w="3014" w:type="dxa"/>
          </w:tcPr>
          <w:p w14:paraId="0FC6A3A8" w14:textId="77777777" w:rsidR="008A23F3" w:rsidRDefault="008A23F3" w:rsidP="00DD0ABF">
            <w:pPr>
              <w:pStyle w:val="TableParagraph"/>
              <w:spacing w:line="250" w:lineRule="exact"/>
              <w:ind w:left="57"/>
            </w:pPr>
            <w:r>
              <w:t>Selection or approval of teaching staff</w:t>
            </w:r>
          </w:p>
        </w:tc>
        <w:tc>
          <w:tcPr>
            <w:tcW w:w="1119" w:type="dxa"/>
          </w:tcPr>
          <w:p w14:paraId="52812DFC" w14:textId="77777777" w:rsidR="008A23F3" w:rsidRDefault="008A23F3" w:rsidP="00BC12F4">
            <w:pPr>
              <w:pStyle w:val="TableParagraph"/>
              <w:jc w:val="center"/>
              <w:rPr>
                <w:rFonts w:ascii="Times New Roman"/>
              </w:rPr>
            </w:pPr>
          </w:p>
        </w:tc>
        <w:tc>
          <w:tcPr>
            <w:tcW w:w="1154" w:type="dxa"/>
          </w:tcPr>
          <w:p w14:paraId="40CE011A" w14:textId="77777777" w:rsidR="008A23F3" w:rsidRDefault="008A23F3" w:rsidP="00BC12F4">
            <w:pPr>
              <w:pStyle w:val="TableParagraph"/>
              <w:jc w:val="center"/>
              <w:rPr>
                <w:rFonts w:ascii="Times New Roman"/>
              </w:rPr>
            </w:pPr>
          </w:p>
        </w:tc>
        <w:tc>
          <w:tcPr>
            <w:tcW w:w="1226" w:type="dxa"/>
          </w:tcPr>
          <w:p w14:paraId="3A0D1325" w14:textId="77777777" w:rsidR="008A23F3" w:rsidRDefault="008A23F3" w:rsidP="00BC12F4">
            <w:pPr>
              <w:pStyle w:val="TableParagraph"/>
              <w:jc w:val="center"/>
              <w:rPr>
                <w:rFonts w:ascii="Times New Roman"/>
              </w:rPr>
            </w:pPr>
          </w:p>
        </w:tc>
        <w:tc>
          <w:tcPr>
            <w:tcW w:w="8083" w:type="dxa"/>
          </w:tcPr>
          <w:p w14:paraId="22A43DF9" w14:textId="77777777" w:rsidR="008A23F3" w:rsidRDefault="008A23F3" w:rsidP="0041143A">
            <w:pPr>
              <w:pStyle w:val="TableParagraph"/>
              <w:rPr>
                <w:rFonts w:ascii="Times New Roman"/>
              </w:rPr>
            </w:pPr>
          </w:p>
        </w:tc>
      </w:tr>
      <w:tr w:rsidR="008A23F3" w14:paraId="104582E0" w14:textId="77777777" w:rsidTr="00A8393B">
        <w:trPr>
          <w:trHeight w:val="567"/>
        </w:trPr>
        <w:tc>
          <w:tcPr>
            <w:tcW w:w="3014" w:type="dxa"/>
          </w:tcPr>
          <w:p w14:paraId="60549849" w14:textId="77777777" w:rsidR="008A23F3" w:rsidRDefault="008A23F3" w:rsidP="00DD0ABF">
            <w:pPr>
              <w:pStyle w:val="TableParagraph"/>
              <w:spacing w:line="250" w:lineRule="exact"/>
              <w:ind w:left="57"/>
            </w:pPr>
            <w:r>
              <w:t>Facilities, learning resources and student support services</w:t>
            </w:r>
          </w:p>
        </w:tc>
        <w:tc>
          <w:tcPr>
            <w:tcW w:w="1119" w:type="dxa"/>
          </w:tcPr>
          <w:p w14:paraId="28632248" w14:textId="77777777" w:rsidR="008A23F3" w:rsidRDefault="008A23F3" w:rsidP="00BC12F4">
            <w:pPr>
              <w:pStyle w:val="TableParagraph"/>
              <w:jc w:val="center"/>
              <w:rPr>
                <w:rFonts w:ascii="Times New Roman"/>
              </w:rPr>
            </w:pPr>
          </w:p>
        </w:tc>
        <w:tc>
          <w:tcPr>
            <w:tcW w:w="1154" w:type="dxa"/>
          </w:tcPr>
          <w:p w14:paraId="7E26DDFF" w14:textId="77777777" w:rsidR="008A23F3" w:rsidRDefault="008A23F3" w:rsidP="00BC12F4">
            <w:pPr>
              <w:pStyle w:val="TableParagraph"/>
              <w:jc w:val="center"/>
              <w:rPr>
                <w:rFonts w:ascii="Times New Roman"/>
              </w:rPr>
            </w:pPr>
          </w:p>
        </w:tc>
        <w:tc>
          <w:tcPr>
            <w:tcW w:w="1226" w:type="dxa"/>
          </w:tcPr>
          <w:p w14:paraId="341F8888" w14:textId="77777777" w:rsidR="008A23F3" w:rsidRDefault="008A23F3" w:rsidP="00BC12F4">
            <w:pPr>
              <w:pStyle w:val="TableParagraph"/>
              <w:jc w:val="center"/>
              <w:rPr>
                <w:rFonts w:ascii="Times New Roman"/>
              </w:rPr>
            </w:pPr>
          </w:p>
        </w:tc>
        <w:tc>
          <w:tcPr>
            <w:tcW w:w="8083" w:type="dxa"/>
          </w:tcPr>
          <w:p w14:paraId="38C59DDA" w14:textId="77777777" w:rsidR="008A23F3" w:rsidRDefault="008A23F3" w:rsidP="0041143A">
            <w:pPr>
              <w:pStyle w:val="TableParagraph"/>
              <w:rPr>
                <w:rFonts w:ascii="Times New Roman"/>
              </w:rPr>
            </w:pPr>
          </w:p>
        </w:tc>
      </w:tr>
      <w:tr w:rsidR="008A23F3" w14:paraId="07E4CA01" w14:textId="77777777" w:rsidTr="00A8393B">
        <w:trPr>
          <w:trHeight w:val="567"/>
        </w:trPr>
        <w:tc>
          <w:tcPr>
            <w:tcW w:w="3014" w:type="dxa"/>
          </w:tcPr>
          <w:p w14:paraId="55BA7436" w14:textId="77777777" w:rsidR="008A23F3" w:rsidRDefault="008A23F3" w:rsidP="00DD0ABF">
            <w:pPr>
              <w:pStyle w:val="TableParagraph"/>
              <w:spacing w:line="250" w:lineRule="exact"/>
              <w:ind w:left="57"/>
            </w:pPr>
            <w:r>
              <w:t>Student engagement</w:t>
            </w:r>
          </w:p>
        </w:tc>
        <w:tc>
          <w:tcPr>
            <w:tcW w:w="1119" w:type="dxa"/>
          </w:tcPr>
          <w:p w14:paraId="6D09153B" w14:textId="77777777" w:rsidR="008A23F3" w:rsidRDefault="008A23F3" w:rsidP="00BC12F4">
            <w:pPr>
              <w:pStyle w:val="TableParagraph"/>
              <w:jc w:val="center"/>
              <w:rPr>
                <w:rFonts w:ascii="Times New Roman"/>
              </w:rPr>
            </w:pPr>
          </w:p>
        </w:tc>
        <w:tc>
          <w:tcPr>
            <w:tcW w:w="1154" w:type="dxa"/>
          </w:tcPr>
          <w:p w14:paraId="10805B91" w14:textId="77777777" w:rsidR="008A23F3" w:rsidRDefault="008A23F3" w:rsidP="00BC12F4">
            <w:pPr>
              <w:pStyle w:val="TableParagraph"/>
              <w:jc w:val="center"/>
              <w:rPr>
                <w:rFonts w:ascii="Times New Roman"/>
              </w:rPr>
            </w:pPr>
          </w:p>
        </w:tc>
        <w:tc>
          <w:tcPr>
            <w:tcW w:w="1226" w:type="dxa"/>
          </w:tcPr>
          <w:p w14:paraId="27458924" w14:textId="77777777" w:rsidR="008A23F3" w:rsidRDefault="008A23F3" w:rsidP="00BC12F4">
            <w:pPr>
              <w:pStyle w:val="TableParagraph"/>
              <w:jc w:val="center"/>
              <w:rPr>
                <w:rFonts w:ascii="Times New Roman"/>
              </w:rPr>
            </w:pPr>
          </w:p>
        </w:tc>
        <w:tc>
          <w:tcPr>
            <w:tcW w:w="8083" w:type="dxa"/>
          </w:tcPr>
          <w:p w14:paraId="31AAFE26" w14:textId="77777777" w:rsidR="008A23F3" w:rsidRDefault="008A23F3" w:rsidP="0041143A">
            <w:pPr>
              <w:pStyle w:val="TableParagraph"/>
              <w:rPr>
                <w:rFonts w:ascii="Times New Roman"/>
              </w:rPr>
            </w:pPr>
          </w:p>
        </w:tc>
      </w:tr>
      <w:tr w:rsidR="008A23F3" w14:paraId="3B4811A0" w14:textId="77777777" w:rsidTr="00A8393B">
        <w:trPr>
          <w:trHeight w:val="567"/>
        </w:trPr>
        <w:tc>
          <w:tcPr>
            <w:tcW w:w="3014" w:type="dxa"/>
          </w:tcPr>
          <w:p w14:paraId="6F2645CD" w14:textId="77777777" w:rsidR="008A23F3" w:rsidRDefault="008A23F3" w:rsidP="00DD0ABF">
            <w:pPr>
              <w:pStyle w:val="TableParagraph"/>
              <w:spacing w:line="250" w:lineRule="exact"/>
              <w:ind w:left="57"/>
            </w:pPr>
            <w:r>
              <w:t>Responding to external examiners and other third parties</w:t>
            </w:r>
          </w:p>
        </w:tc>
        <w:tc>
          <w:tcPr>
            <w:tcW w:w="1119" w:type="dxa"/>
          </w:tcPr>
          <w:p w14:paraId="2A50C794" w14:textId="77777777" w:rsidR="008A23F3" w:rsidRDefault="008A23F3" w:rsidP="00BC12F4">
            <w:pPr>
              <w:pStyle w:val="TableParagraph"/>
              <w:jc w:val="center"/>
              <w:rPr>
                <w:rFonts w:ascii="Times New Roman"/>
              </w:rPr>
            </w:pPr>
          </w:p>
        </w:tc>
        <w:tc>
          <w:tcPr>
            <w:tcW w:w="1154" w:type="dxa"/>
          </w:tcPr>
          <w:p w14:paraId="78054736" w14:textId="77777777" w:rsidR="008A23F3" w:rsidRDefault="008A23F3" w:rsidP="00BC12F4">
            <w:pPr>
              <w:pStyle w:val="TableParagraph"/>
              <w:jc w:val="center"/>
              <w:rPr>
                <w:rFonts w:ascii="Times New Roman"/>
              </w:rPr>
            </w:pPr>
          </w:p>
        </w:tc>
        <w:tc>
          <w:tcPr>
            <w:tcW w:w="1226" w:type="dxa"/>
          </w:tcPr>
          <w:p w14:paraId="7D89E9A2" w14:textId="77777777" w:rsidR="008A23F3" w:rsidRDefault="008A23F3" w:rsidP="00BC12F4">
            <w:pPr>
              <w:pStyle w:val="TableParagraph"/>
              <w:jc w:val="center"/>
              <w:rPr>
                <w:rFonts w:ascii="Times New Roman"/>
              </w:rPr>
            </w:pPr>
          </w:p>
        </w:tc>
        <w:tc>
          <w:tcPr>
            <w:tcW w:w="8083" w:type="dxa"/>
          </w:tcPr>
          <w:p w14:paraId="2ED4F858" w14:textId="77777777" w:rsidR="008A23F3" w:rsidRDefault="008A23F3" w:rsidP="0041143A">
            <w:pPr>
              <w:pStyle w:val="TableParagraph"/>
              <w:rPr>
                <w:rFonts w:ascii="Times New Roman"/>
              </w:rPr>
            </w:pPr>
          </w:p>
        </w:tc>
      </w:tr>
      <w:tr w:rsidR="005D52FE" w14:paraId="3C5F6440" w14:textId="77777777" w:rsidTr="00A8393B">
        <w:trPr>
          <w:trHeight w:val="567"/>
        </w:trPr>
        <w:tc>
          <w:tcPr>
            <w:tcW w:w="3014" w:type="dxa"/>
          </w:tcPr>
          <w:p w14:paraId="56D8EFCE" w14:textId="77777777" w:rsidR="008A23F3" w:rsidRDefault="008A23F3" w:rsidP="00DD0ABF">
            <w:pPr>
              <w:pStyle w:val="TableParagraph"/>
              <w:spacing w:line="250" w:lineRule="exact"/>
              <w:ind w:left="57"/>
            </w:pPr>
            <w:r>
              <w:t>Annual monitoring</w:t>
            </w:r>
          </w:p>
        </w:tc>
        <w:tc>
          <w:tcPr>
            <w:tcW w:w="1119" w:type="dxa"/>
          </w:tcPr>
          <w:p w14:paraId="5B749304" w14:textId="77777777" w:rsidR="008A23F3" w:rsidRDefault="008A23F3" w:rsidP="00BC12F4">
            <w:pPr>
              <w:pStyle w:val="TableParagraph"/>
              <w:jc w:val="center"/>
              <w:rPr>
                <w:rFonts w:ascii="Times New Roman"/>
              </w:rPr>
            </w:pPr>
          </w:p>
        </w:tc>
        <w:tc>
          <w:tcPr>
            <w:tcW w:w="1154" w:type="dxa"/>
          </w:tcPr>
          <w:p w14:paraId="2238F0D9" w14:textId="77777777" w:rsidR="008A23F3" w:rsidRDefault="008A23F3" w:rsidP="00BC12F4">
            <w:pPr>
              <w:pStyle w:val="TableParagraph"/>
              <w:jc w:val="center"/>
              <w:rPr>
                <w:rFonts w:ascii="Times New Roman"/>
              </w:rPr>
            </w:pPr>
          </w:p>
        </w:tc>
        <w:tc>
          <w:tcPr>
            <w:tcW w:w="1226" w:type="dxa"/>
          </w:tcPr>
          <w:p w14:paraId="7D7C79FD" w14:textId="77777777" w:rsidR="008A23F3" w:rsidRDefault="008A23F3" w:rsidP="00BC12F4">
            <w:pPr>
              <w:pStyle w:val="TableParagraph"/>
              <w:jc w:val="center"/>
              <w:rPr>
                <w:rFonts w:ascii="Times New Roman"/>
              </w:rPr>
            </w:pPr>
          </w:p>
        </w:tc>
        <w:tc>
          <w:tcPr>
            <w:tcW w:w="8083" w:type="dxa"/>
          </w:tcPr>
          <w:p w14:paraId="2B60D1DA" w14:textId="77777777" w:rsidR="008A23F3" w:rsidRDefault="008A23F3" w:rsidP="0041143A">
            <w:pPr>
              <w:pStyle w:val="TableParagraph"/>
              <w:rPr>
                <w:rFonts w:ascii="Times New Roman"/>
              </w:rPr>
            </w:pPr>
          </w:p>
        </w:tc>
      </w:tr>
      <w:tr w:rsidR="005D52FE" w14:paraId="118F5EB5" w14:textId="77777777" w:rsidTr="00A8393B">
        <w:trPr>
          <w:trHeight w:val="567"/>
        </w:trPr>
        <w:tc>
          <w:tcPr>
            <w:tcW w:w="3014" w:type="dxa"/>
          </w:tcPr>
          <w:p w14:paraId="3295ACBD" w14:textId="77777777" w:rsidR="008A23F3" w:rsidRDefault="008A23F3" w:rsidP="00DD0ABF">
            <w:pPr>
              <w:pStyle w:val="TableParagraph"/>
              <w:spacing w:line="250" w:lineRule="exact"/>
              <w:ind w:left="57"/>
            </w:pPr>
            <w:r>
              <w:t>Student complaints and concerns</w:t>
            </w:r>
          </w:p>
        </w:tc>
        <w:tc>
          <w:tcPr>
            <w:tcW w:w="1119" w:type="dxa"/>
          </w:tcPr>
          <w:p w14:paraId="33109F0F" w14:textId="77777777" w:rsidR="008A23F3" w:rsidRDefault="008A23F3" w:rsidP="00BC12F4">
            <w:pPr>
              <w:pStyle w:val="TableParagraph"/>
              <w:jc w:val="center"/>
              <w:rPr>
                <w:rFonts w:ascii="Times New Roman"/>
              </w:rPr>
            </w:pPr>
          </w:p>
        </w:tc>
        <w:tc>
          <w:tcPr>
            <w:tcW w:w="1154" w:type="dxa"/>
          </w:tcPr>
          <w:p w14:paraId="1FB2D878" w14:textId="77777777" w:rsidR="008A23F3" w:rsidRDefault="008A23F3" w:rsidP="00BC12F4">
            <w:pPr>
              <w:pStyle w:val="TableParagraph"/>
              <w:jc w:val="center"/>
              <w:rPr>
                <w:rFonts w:ascii="Times New Roman"/>
              </w:rPr>
            </w:pPr>
          </w:p>
        </w:tc>
        <w:tc>
          <w:tcPr>
            <w:tcW w:w="1226" w:type="dxa"/>
          </w:tcPr>
          <w:p w14:paraId="2B273B27" w14:textId="77777777" w:rsidR="008A23F3" w:rsidRDefault="008A23F3" w:rsidP="00BC12F4">
            <w:pPr>
              <w:pStyle w:val="TableParagraph"/>
              <w:jc w:val="center"/>
              <w:rPr>
                <w:rFonts w:ascii="Times New Roman"/>
              </w:rPr>
            </w:pPr>
          </w:p>
        </w:tc>
        <w:tc>
          <w:tcPr>
            <w:tcW w:w="8083" w:type="dxa"/>
          </w:tcPr>
          <w:p w14:paraId="1B150C8E" w14:textId="77777777" w:rsidR="008A23F3" w:rsidRDefault="008A23F3" w:rsidP="0041143A">
            <w:pPr>
              <w:pStyle w:val="TableParagraph"/>
              <w:rPr>
                <w:rFonts w:ascii="Times New Roman"/>
              </w:rPr>
            </w:pPr>
          </w:p>
        </w:tc>
      </w:tr>
      <w:tr w:rsidR="005D52FE" w14:paraId="5F26F86F" w14:textId="77777777" w:rsidTr="00A8393B">
        <w:trPr>
          <w:trHeight w:val="567"/>
        </w:trPr>
        <w:tc>
          <w:tcPr>
            <w:tcW w:w="3014" w:type="dxa"/>
          </w:tcPr>
          <w:p w14:paraId="4431054B" w14:textId="77777777" w:rsidR="008A23F3" w:rsidRDefault="008A23F3" w:rsidP="00DD0ABF">
            <w:pPr>
              <w:pStyle w:val="TableParagraph"/>
              <w:spacing w:line="250" w:lineRule="exact"/>
              <w:ind w:left="57"/>
            </w:pPr>
            <w:r>
              <w:t>Student appeals</w:t>
            </w:r>
          </w:p>
        </w:tc>
        <w:tc>
          <w:tcPr>
            <w:tcW w:w="1119" w:type="dxa"/>
          </w:tcPr>
          <w:p w14:paraId="27A4E949" w14:textId="77777777" w:rsidR="008A23F3" w:rsidRDefault="008A23F3" w:rsidP="00BC12F4">
            <w:pPr>
              <w:pStyle w:val="TableParagraph"/>
              <w:jc w:val="center"/>
              <w:rPr>
                <w:rFonts w:ascii="Times New Roman"/>
              </w:rPr>
            </w:pPr>
          </w:p>
        </w:tc>
        <w:tc>
          <w:tcPr>
            <w:tcW w:w="1154" w:type="dxa"/>
          </w:tcPr>
          <w:p w14:paraId="7C966397" w14:textId="77777777" w:rsidR="008A23F3" w:rsidRDefault="008A23F3" w:rsidP="00BC12F4">
            <w:pPr>
              <w:pStyle w:val="TableParagraph"/>
              <w:jc w:val="center"/>
              <w:rPr>
                <w:rFonts w:ascii="Times New Roman"/>
              </w:rPr>
            </w:pPr>
          </w:p>
        </w:tc>
        <w:tc>
          <w:tcPr>
            <w:tcW w:w="1226" w:type="dxa"/>
          </w:tcPr>
          <w:p w14:paraId="3077A266" w14:textId="77777777" w:rsidR="008A23F3" w:rsidRDefault="008A23F3" w:rsidP="00BC12F4">
            <w:pPr>
              <w:pStyle w:val="TableParagraph"/>
              <w:jc w:val="center"/>
              <w:rPr>
                <w:rFonts w:ascii="Times New Roman"/>
              </w:rPr>
            </w:pPr>
          </w:p>
        </w:tc>
        <w:tc>
          <w:tcPr>
            <w:tcW w:w="8083" w:type="dxa"/>
          </w:tcPr>
          <w:p w14:paraId="789DF759" w14:textId="77777777" w:rsidR="008A23F3" w:rsidRDefault="008A23F3" w:rsidP="0041143A">
            <w:pPr>
              <w:pStyle w:val="TableParagraph"/>
              <w:rPr>
                <w:rFonts w:ascii="Times New Roman"/>
              </w:rPr>
            </w:pPr>
          </w:p>
        </w:tc>
      </w:tr>
      <w:tr w:rsidR="00A16431" w14:paraId="7047D9E4" w14:textId="77777777" w:rsidTr="00A8393B">
        <w:trPr>
          <w:trHeight w:val="567"/>
        </w:trPr>
        <w:tc>
          <w:tcPr>
            <w:tcW w:w="3014" w:type="dxa"/>
          </w:tcPr>
          <w:p w14:paraId="498F9196" w14:textId="7705F773" w:rsidR="00A16431" w:rsidRDefault="00A16431" w:rsidP="00A16431">
            <w:pPr>
              <w:pStyle w:val="TableParagraph"/>
              <w:spacing w:line="250" w:lineRule="exact"/>
              <w:ind w:left="57"/>
            </w:pPr>
            <w:r>
              <w:t>Managing relationships with other partner organisations (such as placement providers)</w:t>
            </w:r>
          </w:p>
        </w:tc>
        <w:tc>
          <w:tcPr>
            <w:tcW w:w="1119" w:type="dxa"/>
          </w:tcPr>
          <w:p w14:paraId="23D11052" w14:textId="77777777" w:rsidR="00A16431" w:rsidRDefault="00A16431" w:rsidP="00BC12F4">
            <w:pPr>
              <w:pStyle w:val="TableParagraph"/>
              <w:jc w:val="center"/>
              <w:rPr>
                <w:rFonts w:ascii="Times New Roman"/>
              </w:rPr>
            </w:pPr>
          </w:p>
        </w:tc>
        <w:tc>
          <w:tcPr>
            <w:tcW w:w="1154" w:type="dxa"/>
          </w:tcPr>
          <w:p w14:paraId="266BD1B0" w14:textId="77777777" w:rsidR="00A16431" w:rsidRDefault="00A16431" w:rsidP="00BC12F4">
            <w:pPr>
              <w:pStyle w:val="TableParagraph"/>
              <w:jc w:val="center"/>
              <w:rPr>
                <w:rFonts w:ascii="Times New Roman"/>
              </w:rPr>
            </w:pPr>
          </w:p>
        </w:tc>
        <w:tc>
          <w:tcPr>
            <w:tcW w:w="1226" w:type="dxa"/>
          </w:tcPr>
          <w:p w14:paraId="115813BF" w14:textId="77777777" w:rsidR="00A16431" w:rsidRDefault="00A16431" w:rsidP="00BC12F4">
            <w:pPr>
              <w:pStyle w:val="TableParagraph"/>
              <w:jc w:val="center"/>
              <w:rPr>
                <w:rFonts w:ascii="Times New Roman"/>
              </w:rPr>
            </w:pPr>
          </w:p>
        </w:tc>
        <w:tc>
          <w:tcPr>
            <w:tcW w:w="8083" w:type="dxa"/>
          </w:tcPr>
          <w:p w14:paraId="7AFA52CF" w14:textId="77777777" w:rsidR="00A16431" w:rsidRDefault="00A16431" w:rsidP="0041143A">
            <w:pPr>
              <w:pStyle w:val="TableParagraph"/>
              <w:rPr>
                <w:rFonts w:ascii="Times New Roman"/>
              </w:rPr>
            </w:pPr>
          </w:p>
        </w:tc>
      </w:tr>
    </w:tbl>
    <w:p w14:paraId="6E8053DB" w14:textId="4C1DFCA8" w:rsidR="00FA5EF4" w:rsidRDefault="00FA5EF4" w:rsidP="00887FF3">
      <w:pPr>
        <w:spacing w:after="0"/>
      </w:pPr>
    </w:p>
    <w:p w14:paraId="35729BDD" w14:textId="08D2372B" w:rsidR="00FA5EF4" w:rsidRDefault="00FA5EF4" w:rsidP="00887FF3">
      <w:pPr>
        <w:spacing w:after="0"/>
      </w:pPr>
    </w:p>
    <w:p w14:paraId="3664529D" w14:textId="41C223FB" w:rsidR="00FA5EF4" w:rsidRDefault="00FA5EF4" w:rsidP="00887FF3">
      <w:pPr>
        <w:spacing w:after="0"/>
      </w:pPr>
    </w:p>
    <w:p w14:paraId="4FEB30F2" w14:textId="0CC188D0" w:rsidR="00FA5EF4" w:rsidRDefault="00FA5EF4" w:rsidP="00887FF3">
      <w:pPr>
        <w:spacing w:after="0"/>
      </w:pPr>
    </w:p>
    <w:p w14:paraId="66B5B490" w14:textId="63DCDB4A" w:rsidR="003A4735" w:rsidRDefault="003A4735" w:rsidP="00FA5EF4">
      <w:pPr>
        <w:spacing w:after="0"/>
      </w:pPr>
    </w:p>
    <w:p w14:paraId="2AD5A410" w14:textId="48745E7C" w:rsidR="003A4735" w:rsidRDefault="003A4735" w:rsidP="00FA5EF4">
      <w:pPr>
        <w:spacing w:after="0"/>
      </w:pPr>
    </w:p>
    <w:p w14:paraId="33599855" w14:textId="0F35D431" w:rsidR="00C95E4D" w:rsidRDefault="00C95E4D" w:rsidP="00FA5EF4">
      <w:pPr>
        <w:spacing w:after="0"/>
      </w:pPr>
    </w:p>
    <w:p w14:paraId="1F1A1114" w14:textId="460DE55C" w:rsidR="00C95E4D" w:rsidRDefault="00C95E4D" w:rsidP="00FA5EF4">
      <w:pPr>
        <w:spacing w:after="0"/>
      </w:pPr>
    </w:p>
    <w:p w14:paraId="53F39128" w14:textId="77777777" w:rsidR="005D52FE" w:rsidRDefault="005D52FE">
      <w:pPr>
        <w:widowControl/>
        <w:spacing w:after="0"/>
        <w:sectPr w:rsidR="005D52FE" w:rsidSect="005D52FE">
          <w:pgSz w:w="16838" w:h="11906" w:orient="landscape" w:code="9"/>
          <w:pgMar w:top="1440" w:right="1440" w:bottom="1440" w:left="1440" w:header="720" w:footer="720" w:gutter="0"/>
          <w:pgNumType w:start="4"/>
          <w:cols w:space="708"/>
          <w:docGrid w:linePitch="326"/>
        </w:sectPr>
      </w:pPr>
    </w:p>
    <w:p w14:paraId="1E24E400" w14:textId="785DDF27" w:rsidR="001C0342" w:rsidRDefault="001C0342">
      <w:pPr>
        <w:widowControl/>
        <w:spacing w:after="0"/>
      </w:pPr>
    </w:p>
    <w:p w14:paraId="71069489" w14:textId="77777777" w:rsidR="00C95E4D" w:rsidRDefault="00C95E4D" w:rsidP="00FA5EF4">
      <w:pPr>
        <w:spacing w:after="0"/>
      </w:pPr>
    </w:p>
    <w:p w14:paraId="4E76F09B" w14:textId="7CEFA26D" w:rsidR="771D8E93" w:rsidRDefault="771D8E93" w:rsidP="771D8E93">
      <w:pPr>
        <w:spacing w:after="0"/>
      </w:pPr>
    </w:p>
    <w:p w14:paraId="3EEFE284" w14:textId="05641180" w:rsidR="771D8E93" w:rsidRDefault="771D8E93" w:rsidP="771D8E93">
      <w:pPr>
        <w:spacing w:after="0"/>
      </w:pPr>
    </w:p>
    <w:p w14:paraId="7C8CAC0A" w14:textId="7E8E3D1A" w:rsidR="771D8E93" w:rsidRDefault="771D8E93" w:rsidP="771D8E93">
      <w:pPr>
        <w:spacing w:after="0"/>
      </w:pPr>
    </w:p>
    <w:p w14:paraId="2C860B9F" w14:textId="10E1ED12" w:rsidR="771D8E93" w:rsidRDefault="771D8E93" w:rsidP="771D8E93">
      <w:pPr>
        <w:spacing w:after="0"/>
      </w:pPr>
    </w:p>
    <w:p w14:paraId="76D06D4F" w14:textId="47C9CBE6" w:rsidR="771D8E93" w:rsidRDefault="771D8E93" w:rsidP="771D8E93">
      <w:pPr>
        <w:spacing w:after="0"/>
      </w:pPr>
    </w:p>
    <w:p w14:paraId="5A180E2C" w14:textId="0D6D7A8B" w:rsidR="771D8E93" w:rsidRDefault="771D8E93" w:rsidP="771D8E93">
      <w:pPr>
        <w:spacing w:after="0"/>
      </w:pPr>
    </w:p>
    <w:p w14:paraId="012BE685" w14:textId="071CFA67" w:rsidR="771D8E93" w:rsidRDefault="771D8E93" w:rsidP="771D8E93">
      <w:pPr>
        <w:spacing w:after="0"/>
      </w:pPr>
    </w:p>
    <w:p w14:paraId="16FB01F1" w14:textId="4328A3F1" w:rsidR="771D8E93" w:rsidRDefault="771D8E93" w:rsidP="771D8E93">
      <w:pPr>
        <w:spacing w:after="0"/>
      </w:pPr>
    </w:p>
    <w:p w14:paraId="5BC6A1F2" w14:textId="303E34B9" w:rsidR="771D8E93" w:rsidRDefault="771D8E93" w:rsidP="771D8E93">
      <w:pPr>
        <w:spacing w:after="0"/>
      </w:pPr>
    </w:p>
    <w:p w14:paraId="1C1C5E59" w14:textId="777FD0B5" w:rsidR="771D8E93" w:rsidRDefault="771D8E93" w:rsidP="771D8E93">
      <w:pPr>
        <w:spacing w:after="0"/>
      </w:pPr>
    </w:p>
    <w:p w14:paraId="7DE78782" w14:textId="38910615" w:rsidR="771D8E93" w:rsidRDefault="771D8E93" w:rsidP="771D8E93">
      <w:pPr>
        <w:spacing w:after="0"/>
      </w:pPr>
    </w:p>
    <w:p w14:paraId="25B50951" w14:textId="0C189366" w:rsidR="771D8E93" w:rsidRDefault="771D8E93" w:rsidP="771D8E93">
      <w:pPr>
        <w:spacing w:after="0"/>
      </w:pPr>
    </w:p>
    <w:p w14:paraId="65A19C52" w14:textId="4BA8A1E7" w:rsidR="771D8E93" w:rsidRDefault="771D8E93" w:rsidP="771D8E93">
      <w:pPr>
        <w:spacing w:after="0"/>
      </w:pPr>
    </w:p>
    <w:p w14:paraId="605C45DC" w14:textId="1A7657BF" w:rsidR="771D8E93" w:rsidRDefault="771D8E93" w:rsidP="771D8E93">
      <w:pPr>
        <w:spacing w:after="0"/>
      </w:pPr>
    </w:p>
    <w:p w14:paraId="014D6864" w14:textId="3424E6FE" w:rsidR="771D8E93" w:rsidRDefault="771D8E93" w:rsidP="771D8E93">
      <w:pPr>
        <w:spacing w:after="0"/>
      </w:pPr>
    </w:p>
    <w:p w14:paraId="2FB85851" w14:textId="0554D09D" w:rsidR="771D8E93" w:rsidRDefault="771D8E93" w:rsidP="771D8E93">
      <w:pPr>
        <w:spacing w:after="0"/>
      </w:pPr>
    </w:p>
    <w:p w14:paraId="5982B504" w14:textId="5D35EE43" w:rsidR="771D8E93" w:rsidRDefault="771D8E93" w:rsidP="771D8E93">
      <w:pPr>
        <w:spacing w:after="0"/>
      </w:pPr>
    </w:p>
    <w:p w14:paraId="1C550A5E" w14:textId="48814792" w:rsidR="771D8E93" w:rsidRDefault="771D8E93" w:rsidP="771D8E93">
      <w:pPr>
        <w:spacing w:after="0"/>
      </w:pPr>
    </w:p>
    <w:p w14:paraId="565769A8" w14:textId="77777777" w:rsidR="001C0342" w:rsidRDefault="001C0342" w:rsidP="771D8E93">
      <w:pPr>
        <w:spacing w:after="0"/>
      </w:pPr>
    </w:p>
    <w:p w14:paraId="6171E2C3" w14:textId="77777777" w:rsidR="001C0342" w:rsidRDefault="001C0342" w:rsidP="771D8E93">
      <w:pPr>
        <w:spacing w:after="0"/>
      </w:pPr>
    </w:p>
    <w:p w14:paraId="700936A0" w14:textId="77777777" w:rsidR="001C0342" w:rsidRDefault="001C0342" w:rsidP="771D8E93">
      <w:pPr>
        <w:spacing w:after="0"/>
      </w:pPr>
    </w:p>
    <w:p w14:paraId="79953557" w14:textId="77777777" w:rsidR="001C0342" w:rsidRDefault="001C0342" w:rsidP="771D8E93">
      <w:pPr>
        <w:spacing w:after="0"/>
      </w:pPr>
    </w:p>
    <w:p w14:paraId="7A66EA53" w14:textId="48775909" w:rsidR="771D8E93" w:rsidRDefault="771D8E93" w:rsidP="771D8E93">
      <w:pPr>
        <w:spacing w:after="0"/>
      </w:pPr>
    </w:p>
    <w:p w14:paraId="0C12003F" w14:textId="5F0150A0" w:rsidR="771D8E93" w:rsidRDefault="771D8E93" w:rsidP="771D8E93">
      <w:pPr>
        <w:spacing w:after="0"/>
      </w:pPr>
    </w:p>
    <w:p w14:paraId="54348985" w14:textId="77777777" w:rsidR="00C95E4D" w:rsidRDefault="00C95E4D" w:rsidP="00FA5EF4">
      <w:pPr>
        <w:spacing w:after="0"/>
      </w:pPr>
    </w:p>
    <w:p w14:paraId="79536682" w14:textId="77777777" w:rsidR="004A2E1C" w:rsidRDefault="004A2E1C" w:rsidP="00FA5EF4">
      <w:pPr>
        <w:spacing w:after="0"/>
      </w:pPr>
    </w:p>
    <w:p w14:paraId="37F20754" w14:textId="77777777" w:rsidR="004A2E1C" w:rsidRDefault="004A2E1C" w:rsidP="00FA5EF4">
      <w:pPr>
        <w:spacing w:after="0"/>
      </w:pPr>
    </w:p>
    <w:p w14:paraId="24CE0B8A" w14:textId="0F9D827B" w:rsidR="00831E86" w:rsidRDefault="00831E86" w:rsidP="00FA5EF4">
      <w:pPr>
        <w:spacing w:after="0"/>
      </w:pPr>
    </w:p>
    <w:p w14:paraId="28A357E4" w14:textId="2184CF2A" w:rsidR="00831E86" w:rsidRDefault="00C95E4D" w:rsidP="00FA5EF4">
      <w:pPr>
        <w:spacing w:after="0"/>
      </w:pPr>
      <w:r>
        <w:t xml:space="preserve">Published </w:t>
      </w:r>
      <w:r w:rsidR="00C644CC">
        <w:t xml:space="preserve">- </w:t>
      </w:r>
      <w:r w:rsidR="00CB104E">
        <w:t xml:space="preserve">4 </w:t>
      </w:r>
      <w:r w:rsidR="00C644CC">
        <w:t>October</w:t>
      </w:r>
      <w:r>
        <w:t xml:space="preserve"> 202</w:t>
      </w:r>
      <w:r w:rsidR="004A2E1C">
        <w:t>4</w:t>
      </w:r>
    </w:p>
    <w:p w14:paraId="5B0B9A4C" w14:textId="77777777" w:rsidR="00831E86" w:rsidRDefault="00831E86" w:rsidP="00FA5EF4">
      <w:pPr>
        <w:spacing w:after="0"/>
      </w:pPr>
    </w:p>
    <w:p w14:paraId="7A572E27" w14:textId="0D89D67C" w:rsidR="00FA5EF4" w:rsidRPr="00FA5EF4" w:rsidRDefault="00FA5EF4" w:rsidP="00FA5EF4">
      <w:pPr>
        <w:spacing w:after="0"/>
        <w:rPr>
          <w:rFonts w:cs="Arial"/>
          <w:szCs w:val="22"/>
        </w:rPr>
      </w:pPr>
      <w:r w:rsidRPr="00FA5EF4">
        <w:rPr>
          <w:rFonts w:cs="Arial"/>
          <w:szCs w:val="22"/>
        </w:rPr>
        <w:t>© The Quality Assurance Agency for Higher Education</w:t>
      </w:r>
      <w:r w:rsidR="00C95E4D">
        <w:rPr>
          <w:rFonts w:cs="Arial"/>
          <w:szCs w:val="22"/>
        </w:rPr>
        <w:t xml:space="preserve"> 202</w:t>
      </w:r>
      <w:r w:rsidR="004A2E1C">
        <w:rPr>
          <w:rFonts w:cs="Arial"/>
          <w:szCs w:val="22"/>
        </w:rPr>
        <w:t>4</w:t>
      </w:r>
    </w:p>
    <w:p w14:paraId="7883FA3E" w14:textId="77777777" w:rsidR="00FA5EF4" w:rsidRPr="00FA5EF4" w:rsidRDefault="00FA5EF4" w:rsidP="00FA5EF4">
      <w:pPr>
        <w:spacing w:after="0"/>
        <w:rPr>
          <w:rFonts w:cs="Arial"/>
          <w:szCs w:val="22"/>
        </w:rPr>
      </w:pPr>
      <w:r w:rsidRPr="00FA5EF4">
        <w:rPr>
          <w:rFonts w:cs="Arial"/>
          <w:szCs w:val="22"/>
        </w:rPr>
        <w:t>Registered charity numbers 1062746 and SC037786</w:t>
      </w:r>
    </w:p>
    <w:p w14:paraId="6EBD16BE" w14:textId="41BA87F6" w:rsidR="00FA5EF4" w:rsidRDefault="00000000" w:rsidP="00FA5EF4">
      <w:pPr>
        <w:spacing w:after="0"/>
      </w:pPr>
      <w:hyperlink r:id="rId16" w:history="1">
        <w:r w:rsidR="003A4735">
          <w:rPr>
            <w:rStyle w:val="Hyperlink"/>
          </w:rPr>
          <w:t>www.qaa.ac.uk</w:t>
        </w:r>
      </w:hyperlink>
    </w:p>
    <w:sectPr w:rsidR="00FA5EF4" w:rsidSect="005D52FE">
      <w:pgSz w:w="16838" w:h="11906" w:orient="landscape" w:code="9"/>
      <w:pgMar w:top="1440" w:right="1440" w:bottom="1440" w:left="1440" w:header="720" w:footer="720" w:gutter="0"/>
      <w:pgNumType w:start="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C5D1A" w14:textId="77777777" w:rsidR="005B1CFD" w:rsidRDefault="005B1CFD">
      <w:r>
        <w:separator/>
      </w:r>
    </w:p>
  </w:endnote>
  <w:endnote w:type="continuationSeparator" w:id="0">
    <w:p w14:paraId="4B9DCFF4" w14:textId="77777777" w:rsidR="005B1CFD" w:rsidRDefault="005B1CFD">
      <w:r>
        <w:continuationSeparator/>
      </w:r>
    </w:p>
  </w:endnote>
  <w:endnote w:type="continuationNotice" w:id="1">
    <w:p w14:paraId="259471D2" w14:textId="77777777" w:rsidR="005B1CFD" w:rsidRDefault="005B1C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356392"/>
      <w:docPartObj>
        <w:docPartGallery w:val="Page Numbers (Bottom of Page)"/>
        <w:docPartUnique/>
      </w:docPartObj>
    </w:sdtPr>
    <w:sdtContent>
      <w:p w14:paraId="05106C19" w14:textId="393EFF5B" w:rsidR="005B5EAA" w:rsidRDefault="005B5EAA">
        <w:pPr>
          <w:pStyle w:val="Footer"/>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602225"/>
      <w:docPartObj>
        <w:docPartGallery w:val="Page Numbers (Bottom of Page)"/>
        <w:docPartUnique/>
      </w:docPartObj>
    </w:sdtPr>
    <w:sdtEndPr>
      <w:rPr>
        <w:noProof/>
      </w:rPr>
    </w:sdtEndPr>
    <w:sdtContent>
      <w:p w14:paraId="746F449F" w14:textId="77777777" w:rsidR="00052FDE" w:rsidRPr="00ED5F1A" w:rsidRDefault="00052FDE" w:rsidP="00052FDE">
        <w:pPr>
          <w:pStyle w:val="Footer"/>
          <w:jc w:val="center"/>
        </w:pPr>
        <w:r w:rsidRPr="009F26C7">
          <w:fldChar w:fldCharType="begin"/>
        </w:r>
        <w:r w:rsidRPr="009F26C7">
          <w:instrText xml:space="preserve"> PAGE   \* MERGEFORMAT </w:instrText>
        </w:r>
        <w:r w:rsidRPr="009F26C7">
          <w:fldChar w:fldCharType="separate"/>
        </w:r>
        <w:r w:rsidRPr="009F26C7">
          <w:t>2</w:t>
        </w:r>
        <w:r w:rsidRPr="009F26C7">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839036"/>
      <w:docPartObj>
        <w:docPartGallery w:val="Page Numbers (Bottom of Page)"/>
        <w:docPartUnique/>
      </w:docPartObj>
    </w:sdtPr>
    <w:sdtContent>
      <w:p w14:paraId="14273CBA" w14:textId="08A43D2B" w:rsidR="009576B2" w:rsidRDefault="009576B2">
        <w:pPr>
          <w:pStyle w:val="Footer"/>
          <w:jc w:val="center"/>
        </w:pPr>
        <w:r>
          <w:fldChar w:fldCharType="begin"/>
        </w:r>
        <w:r>
          <w:instrText>PAGE   \* MERGEFORMAT</w:instrText>
        </w:r>
        <w:r>
          <w:fldChar w:fldCharType="separate"/>
        </w:r>
        <w:r>
          <w:t>2</w:t>
        </w:r>
        <w:r>
          <w:fldChar w:fldCharType="end"/>
        </w:r>
      </w:p>
    </w:sdtContent>
  </w:sdt>
  <w:p w14:paraId="282326C7" w14:textId="49E45177" w:rsidR="00FA5EF4" w:rsidRPr="00ED5F1A" w:rsidRDefault="00FA5EF4" w:rsidP="00052F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1007" w14:textId="77777777" w:rsidR="005B1CFD" w:rsidRDefault="005B1CFD">
      <w:r>
        <w:separator/>
      </w:r>
    </w:p>
  </w:footnote>
  <w:footnote w:type="continuationSeparator" w:id="0">
    <w:p w14:paraId="0B4723EF" w14:textId="77777777" w:rsidR="005B1CFD" w:rsidRDefault="005B1CFD">
      <w:r>
        <w:continuationSeparator/>
      </w:r>
    </w:p>
  </w:footnote>
  <w:footnote w:type="continuationNotice" w:id="1">
    <w:p w14:paraId="2B2D1437" w14:textId="77777777" w:rsidR="005B1CFD" w:rsidRDefault="005B1C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3D4AA" w14:textId="77777777" w:rsidR="00052FDE" w:rsidRDefault="00052FDE" w:rsidP="00ED5F1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81A58" w14:textId="27439F0D" w:rsidR="005B04A4" w:rsidRDefault="005B04A4"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671"/>
    <w:multiLevelType w:val="hybridMultilevel"/>
    <w:tmpl w:val="C3D082E0"/>
    <w:lvl w:ilvl="0" w:tplc="1480F560">
      <w:start w:val="1"/>
      <w:numFmt w:val="bullet"/>
      <w:pStyle w:val="07bIASumFindbullet"/>
      <w:lvlText w:val=""/>
      <w:lvlJc w:val="left"/>
      <w:pPr>
        <w:tabs>
          <w:tab w:val="num" w:pos="3062"/>
        </w:tabs>
        <w:ind w:left="3062" w:hanging="360"/>
      </w:pPr>
      <w:rPr>
        <w:rFonts w:ascii="Symbol" w:hAnsi="Symbol" w:hint="default"/>
        <w:color w:val="auto"/>
      </w:rPr>
    </w:lvl>
    <w:lvl w:ilvl="1" w:tplc="001C81EC">
      <w:start w:val="1"/>
      <w:numFmt w:val="bullet"/>
      <w:lvlText w:val="o"/>
      <w:lvlJc w:val="left"/>
      <w:pPr>
        <w:tabs>
          <w:tab w:val="num" w:pos="4862"/>
        </w:tabs>
        <w:ind w:left="4862" w:hanging="360"/>
      </w:pPr>
      <w:rPr>
        <w:rFonts w:ascii="Courier New" w:hAnsi="Courier New" w:hint="default"/>
      </w:rPr>
    </w:lvl>
    <w:lvl w:ilvl="2" w:tplc="9ED01ECE" w:tentative="1">
      <w:start w:val="1"/>
      <w:numFmt w:val="bullet"/>
      <w:lvlText w:val=""/>
      <w:lvlJc w:val="left"/>
      <w:pPr>
        <w:tabs>
          <w:tab w:val="num" w:pos="5582"/>
        </w:tabs>
        <w:ind w:left="5582" w:hanging="360"/>
      </w:pPr>
      <w:rPr>
        <w:rFonts w:ascii="Wingdings" w:hAnsi="Wingdings" w:hint="default"/>
      </w:rPr>
    </w:lvl>
    <w:lvl w:ilvl="3" w:tplc="3C0606BC" w:tentative="1">
      <w:start w:val="1"/>
      <w:numFmt w:val="bullet"/>
      <w:lvlText w:val=""/>
      <w:lvlJc w:val="left"/>
      <w:pPr>
        <w:tabs>
          <w:tab w:val="num" w:pos="6302"/>
        </w:tabs>
        <w:ind w:left="6302" w:hanging="360"/>
      </w:pPr>
      <w:rPr>
        <w:rFonts w:ascii="Symbol" w:hAnsi="Symbol" w:hint="default"/>
      </w:rPr>
    </w:lvl>
    <w:lvl w:ilvl="4" w:tplc="A6521600" w:tentative="1">
      <w:start w:val="1"/>
      <w:numFmt w:val="bullet"/>
      <w:lvlText w:val="o"/>
      <w:lvlJc w:val="left"/>
      <w:pPr>
        <w:tabs>
          <w:tab w:val="num" w:pos="7022"/>
        </w:tabs>
        <w:ind w:left="7022" w:hanging="360"/>
      </w:pPr>
      <w:rPr>
        <w:rFonts w:ascii="Courier New" w:hAnsi="Courier New" w:hint="default"/>
      </w:rPr>
    </w:lvl>
    <w:lvl w:ilvl="5" w:tplc="453201FC" w:tentative="1">
      <w:start w:val="1"/>
      <w:numFmt w:val="bullet"/>
      <w:lvlText w:val=""/>
      <w:lvlJc w:val="left"/>
      <w:pPr>
        <w:tabs>
          <w:tab w:val="num" w:pos="7742"/>
        </w:tabs>
        <w:ind w:left="7742" w:hanging="360"/>
      </w:pPr>
      <w:rPr>
        <w:rFonts w:ascii="Wingdings" w:hAnsi="Wingdings" w:hint="default"/>
      </w:rPr>
    </w:lvl>
    <w:lvl w:ilvl="6" w:tplc="9B3E1374" w:tentative="1">
      <w:start w:val="1"/>
      <w:numFmt w:val="bullet"/>
      <w:lvlText w:val=""/>
      <w:lvlJc w:val="left"/>
      <w:pPr>
        <w:tabs>
          <w:tab w:val="num" w:pos="8462"/>
        </w:tabs>
        <w:ind w:left="8462" w:hanging="360"/>
      </w:pPr>
      <w:rPr>
        <w:rFonts w:ascii="Symbol" w:hAnsi="Symbol" w:hint="default"/>
      </w:rPr>
    </w:lvl>
    <w:lvl w:ilvl="7" w:tplc="B6B6FF5C" w:tentative="1">
      <w:start w:val="1"/>
      <w:numFmt w:val="bullet"/>
      <w:lvlText w:val="o"/>
      <w:lvlJc w:val="left"/>
      <w:pPr>
        <w:tabs>
          <w:tab w:val="num" w:pos="9182"/>
        </w:tabs>
        <w:ind w:left="9182" w:hanging="360"/>
      </w:pPr>
      <w:rPr>
        <w:rFonts w:ascii="Courier New" w:hAnsi="Courier New" w:hint="default"/>
      </w:rPr>
    </w:lvl>
    <w:lvl w:ilvl="8" w:tplc="040481A4" w:tentative="1">
      <w:start w:val="1"/>
      <w:numFmt w:val="bullet"/>
      <w:lvlText w:val=""/>
      <w:lvlJc w:val="left"/>
      <w:pPr>
        <w:tabs>
          <w:tab w:val="num" w:pos="9902"/>
        </w:tabs>
        <w:ind w:left="9902" w:hanging="360"/>
      </w:pPr>
      <w:rPr>
        <w:rFonts w:ascii="Wingdings" w:hAnsi="Wingdings" w:hint="default"/>
      </w:rPr>
    </w:lvl>
  </w:abstractNum>
  <w:abstractNum w:abstractNumId="1"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0AD25A02"/>
    <w:multiLevelType w:val="hybridMultilevel"/>
    <w:tmpl w:val="654C8826"/>
    <w:lvl w:ilvl="0" w:tplc="A322EFF6">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1A9A3488"/>
    <w:multiLevelType w:val="multilevel"/>
    <w:tmpl w:val="0F96446E"/>
    <w:name w:val="QAA list22"/>
    <w:numStyleLink w:val="QAAlist"/>
  </w:abstractNum>
  <w:abstractNum w:abstractNumId="6" w15:restartNumberingAfterBreak="0">
    <w:nsid w:val="214166E7"/>
    <w:multiLevelType w:val="multilevel"/>
    <w:tmpl w:val="9E40A6CC"/>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7"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2C317F2E"/>
    <w:multiLevelType w:val="multilevel"/>
    <w:tmpl w:val="C94E3684"/>
    <w:name w:val="QAA2222"/>
    <w:numStyleLink w:val="QAAmultilist"/>
  </w:abstractNum>
  <w:abstractNum w:abstractNumId="9"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AE2FA9"/>
    <w:multiLevelType w:val="multilevel"/>
    <w:tmpl w:val="C94E3684"/>
    <w:name w:val="QAA22223"/>
    <w:numStyleLink w:val="QAAmultilist"/>
  </w:abstractNum>
  <w:abstractNum w:abstractNumId="11" w15:restartNumberingAfterBreak="0">
    <w:nsid w:val="38600AC7"/>
    <w:multiLevelType w:val="hybridMultilevel"/>
    <w:tmpl w:val="6E8A08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B70AF"/>
    <w:multiLevelType w:val="multilevel"/>
    <w:tmpl w:val="C94E3684"/>
    <w:name w:val="QAA222"/>
    <w:numStyleLink w:val="QAAmultilist"/>
  </w:abstractNum>
  <w:abstractNum w:abstractNumId="13"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4"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43260F"/>
    <w:multiLevelType w:val="multilevel"/>
    <w:tmpl w:val="C94E3684"/>
    <w:name w:val="QAA list22222"/>
    <w:numStyleLink w:val="QAAmultilist"/>
  </w:abstractNum>
  <w:abstractNum w:abstractNumId="17" w15:restartNumberingAfterBreak="0">
    <w:nsid w:val="54D53FDB"/>
    <w:multiLevelType w:val="multilevel"/>
    <w:tmpl w:val="C94E3684"/>
    <w:name w:val="QAA22222"/>
    <w:numStyleLink w:val="QAAmultilist"/>
  </w:abstractNum>
  <w:abstractNum w:abstractNumId="18"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9" w15:restartNumberingAfterBreak="0">
    <w:nsid w:val="5B616787"/>
    <w:multiLevelType w:val="hybridMultilevel"/>
    <w:tmpl w:val="2A708C76"/>
    <w:lvl w:ilvl="0" w:tplc="2488DC06">
      <w:start w:val="1"/>
      <w:numFmt w:val="lowerLetter"/>
      <w:pStyle w:val="BulletedList"/>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2"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689D2C51"/>
    <w:multiLevelType w:val="multilevel"/>
    <w:tmpl w:val="C94E3684"/>
    <w:name w:val="QAA22"/>
    <w:numStyleLink w:val="QAAmultilist"/>
  </w:abstractNum>
  <w:abstractNum w:abstractNumId="24"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6" w15:restartNumberingAfterBreak="0">
    <w:nsid w:val="7A2B17F4"/>
    <w:multiLevelType w:val="hybridMultilevel"/>
    <w:tmpl w:val="43D219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30"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647705100">
    <w:abstractNumId w:val="28"/>
  </w:num>
  <w:num w:numId="2" w16cid:durableId="2135174413">
    <w:abstractNumId w:val="30"/>
  </w:num>
  <w:num w:numId="3" w16cid:durableId="1276787928">
    <w:abstractNumId w:val="0"/>
  </w:num>
  <w:num w:numId="4" w16cid:durableId="1115712509">
    <w:abstractNumId w:val="29"/>
  </w:num>
  <w:num w:numId="5" w16cid:durableId="1645892006">
    <w:abstractNumId w:val="3"/>
  </w:num>
  <w:num w:numId="6" w16cid:durableId="891766521">
    <w:abstractNumId w:val="13"/>
  </w:num>
  <w:num w:numId="7" w16cid:durableId="843862636">
    <w:abstractNumId w:val="6"/>
  </w:num>
  <w:num w:numId="8" w16cid:durableId="1784494345">
    <w:abstractNumId w:val="14"/>
  </w:num>
  <w:num w:numId="9" w16cid:durableId="1699961581">
    <w:abstractNumId w:val="5"/>
  </w:num>
  <w:num w:numId="10" w16cid:durableId="1113399671">
    <w:abstractNumId w:val="22"/>
  </w:num>
  <w:num w:numId="11" w16cid:durableId="1882013452">
    <w:abstractNumId w:val="15"/>
  </w:num>
  <w:num w:numId="12" w16cid:durableId="128977223">
    <w:abstractNumId w:val="21"/>
  </w:num>
  <w:num w:numId="13" w16cid:durableId="473762254">
    <w:abstractNumId w:val="27"/>
  </w:num>
  <w:num w:numId="14" w16cid:durableId="1326011035">
    <w:abstractNumId w:val="2"/>
  </w:num>
  <w:num w:numId="15" w16cid:durableId="1833989123">
    <w:abstractNumId w:val="19"/>
  </w:num>
  <w:num w:numId="16" w16cid:durableId="1964144008">
    <w:abstractNumId w:val="19"/>
    <w:lvlOverride w:ilvl="0">
      <w:startOverride w:val="1"/>
    </w:lvlOverride>
  </w:num>
  <w:num w:numId="17" w16cid:durableId="2023697731">
    <w:abstractNumId w:val="19"/>
    <w:lvlOverride w:ilvl="0">
      <w:startOverride w:val="1"/>
    </w:lvlOverride>
  </w:num>
  <w:num w:numId="18" w16cid:durableId="633870510">
    <w:abstractNumId w:val="19"/>
    <w:lvlOverride w:ilvl="0">
      <w:startOverride w:val="1"/>
    </w:lvlOverride>
  </w:num>
  <w:num w:numId="19" w16cid:durableId="1151290965">
    <w:abstractNumId w:val="19"/>
    <w:lvlOverride w:ilvl="0">
      <w:startOverride w:val="1"/>
    </w:lvlOverride>
  </w:num>
  <w:num w:numId="20" w16cid:durableId="1016494554">
    <w:abstractNumId w:val="19"/>
    <w:lvlOverride w:ilvl="0">
      <w:startOverride w:val="1"/>
    </w:lvlOverride>
  </w:num>
  <w:num w:numId="21" w16cid:durableId="115176402">
    <w:abstractNumId w:val="19"/>
    <w:lvlOverride w:ilvl="0">
      <w:startOverride w:val="1"/>
    </w:lvlOverride>
  </w:num>
  <w:num w:numId="22" w16cid:durableId="265040901">
    <w:abstractNumId w:val="19"/>
    <w:lvlOverride w:ilvl="0">
      <w:startOverride w:val="1"/>
    </w:lvlOverride>
  </w:num>
  <w:num w:numId="23" w16cid:durableId="1214079152">
    <w:abstractNumId w:val="19"/>
    <w:lvlOverride w:ilvl="0">
      <w:startOverride w:val="1"/>
    </w:lvlOverride>
  </w:num>
  <w:num w:numId="24" w16cid:durableId="267810975">
    <w:abstractNumId w:val="19"/>
    <w:lvlOverride w:ilvl="0">
      <w:startOverride w:val="1"/>
    </w:lvlOverride>
  </w:num>
  <w:num w:numId="25" w16cid:durableId="1940791126">
    <w:abstractNumId w:val="19"/>
    <w:lvlOverride w:ilvl="0">
      <w:startOverride w:val="1"/>
    </w:lvlOverride>
  </w:num>
  <w:num w:numId="26" w16cid:durableId="1336615161">
    <w:abstractNumId w:val="19"/>
    <w:lvlOverride w:ilvl="0">
      <w:startOverride w:val="1"/>
    </w:lvlOverride>
  </w:num>
  <w:num w:numId="27" w16cid:durableId="1587836764">
    <w:abstractNumId w:val="19"/>
    <w:lvlOverride w:ilvl="0">
      <w:startOverride w:val="1"/>
    </w:lvlOverride>
  </w:num>
  <w:num w:numId="28" w16cid:durableId="1260287574">
    <w:abstractNumId w:val="19"/>
    <w:lvlOverride w:ilvl="0">
      <w:startOverride w:val="1"/>
    </w:lvlOverride>
  </w:num>
  <w:num w:numId="29" w16cid:durableId="1206481395">
    <w:abstractNumId w:val="11"/>
  </w:num>
  <w:num w:numId="30" w16cid:durableId="1841389073">
    <w:abstractNumId w:val="26"/>
  </w:num>
  <w:num w:numId="31" w16cid:durableId="915748747">
    <w:abstractNumId w:val="19"/>
    <w:lvlOverride w:ilvl="0">
      <w:startOverride w:val="1"/>
    </w:lvlOverride>
  </w:num>
  <w:num w:numId="32" w16cid:durableId="1227497904">
    <w:abstractNumId w:val="19"/>
    <w:lvlOverride w:ilvl="0">
      <w:startOverride w:val="1"/>
    </w:lvlOverride>
  </w:num>
  <w:num w:numId="33" w16cid:durableId="980160674">
    <w:abstractNumId w:val="19"/>
    <w:lvlOverride w:ilvl="0">
      <w:startOverride w:val="1"/>
    </w:lvlOverride>
  </w:num>
  <w:num w:numId="34" w16cid:durableId="659232351">
    <w:abstractNumId w:val="19"/>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6BE74B1-051F-4F65-B865-FFC63E539BF4}"/>
    <w:docVar w:name="dgnword-eventsink" w:val="26183928"/>
  </w:docVars>
  <w:rsids>
    <w:rsidRoot w:val="00E073A2"/>
    <w:rsid w:val="00000370"/>
    <w:rsid w:val="000029CE"/>
    <w:rsid w:val="000039CA"/>
    <w:rsid w:val="0000480D"/>
    <w:rsid w:val="00006F0E"/>
    <w:rsid w:val="00011F44"/>
    <w:rsid w:val="0001312F"/>
    <w:rsid w:val="00013EB8"/>
    <w:rsid w:val="000209F8"/>
    <w:rsid w:val="00021CE8"/>
    <w:rsid w:val="00023085"/>
    <w:rsid w:val="00023508"/>
    <w:rsid w:val="000257C6"/>
    <w:rsid w:val="00025C3A"/>
    <w:rsid w:val="00032881"/>
    <w:rsid w:val="00032914"/>
    <w:rsid w:val="00033B0F"/>
    <w:rsid w:val="00034DC2"/>
    <w:rsid w:val="00036F5E"/>
    <w:rsid w:val="00037C77"/>
    <w:rsid w:val="00040373"/>
    <w:rsid w:val="00040379"/>
    <w:rsid w:val="000403F1"/>
    <w:rsid w:val="000423FA"/>
    <w:rsid w:val="00045354"/>
    <w:rsid w:val="00045732"/>
    <w:rsid w:val="00045F13"/>
    <w:rsid w:val="000462CC"/>
    <w:rsid w:val="0004689E"/>
    <w:rsid w:val="0005080D"/>
    <w:rsid w:val="00050AB2"/>
    <w:rsid w:val="00051649"/>
    <w:rsid w:val="000516E7"/>
    <w:rsid w:val="00052E0D"/>
    <w:rsid w:val="00052FDE"/>
    <w:rsid w:val="00053578"/>
    <w:rsid w:val="00056B90"/>
    <w:rsid w:val="000578AA"/>
    <w:rsid w:val="00060587"/>
    <w:rsid w:val="00060DC4"/>
    <w:rsid w:val="00061136"/>
    <w:rsid w:val="0006130C"/>
    <w:rsid w:val="000617C9"/>
    <w:rsid w:val="00062782"/>
    <w:rsid w:val="00063995"/>
    <w:rsid w:val="00067744"/>
    <w:rsid w:val="00070CEE"/>
    <w:rsid w:val="00071109"/>
    <w:rsid w:val="000738B7"/>
    <w:rsid w:val="00073A2A"/>
    <w:rsid w:val="00075105"/>
    <w:rsid w:val="00075B8A"/>
    <w:rsid w:val="0007639E"/>
    <w:rsid w:val="000774F4"/>
    <w:rsid w:val="0007782F"/>
    <w:rsid w:val="00080822"/>
    <w:rsid w:val="00081919"/>
    <w:rsid w:val="00081F6A"/>
    <w:rsid w:val="00082101"/>
    <w:rsid w:val="00082A9A"/>
    <w:rsid w:val="00084800"/>
    <w:rsid w:val="00084BF9"/>
    <w:rsid w:val="0008507C"/>
    <w:rsid w:val="000854DD"/>
    <w:rsid w:val="00085A78"/>
    <w:rsid w:val="00085E63"/>
    <w:rsid w:val="0008602B"/>
    <w:rsid w:val="0008682D"/>
    <w:rsid w:val="00086CBD"/>
    <w:rsid w:val="00087CC1"/>
    <w:rsid w:val="00090303"/>
    <w:rsid w:val="000923AE"/>
    <w:rsid w:val="000927C8"/>
    <w:rsid w:val="00093646"/>
    <w:rsid w:val="0009519C"/>
    <w:rsid w:val="000962B1"/>
    <w:rsid w:val="0009774E"/>
    <w:rsid w:val="000A2E88"/>
    <w:rsid w:val="000A2EEB"/>
    <w:rsid w:val="000A35D4"/>
    <w:rsid w:val="000A578E"/>
    <w:rsid w:val="000A6EEC"/>
    <w:rsid w:val="000B124D"/>
    <w:rsid w:val="000B153C"/>
    <w:rsid w:val="000B2C7E"/>
    <w:rsid w:val="000B3580"/>
    <w:rsid w:val="000B3872"/>
    <w:rsid w:val="000B3EA2"/>
    <w:rsid w:val="000B618F"/>
    <w:rsid w:val="000B6C36"/>
    <w:rsid w:val="000B6D8D"/>
    <w:rsid w:val="000B7913"/>
    <w:rsid w:val="000C0533"/>
    <w:rsid w:val="000C09CF"/>
    <w:rsid w:val="000C0A57"/>
    <w:rsid w:val="000C1CE2"/>
    <w:rsid w:val="000C1FBE"/>
    <w:rsid w:val="000C22BD"/>
    <w:rsid w:val="000C319A"/>
    <w:rsid w:val="000C342E"/>
    <w:rsid w:val="000C74DD"/>
    <w:rsid w:val="000D01C4"/>
    <w:rsid w:val="000D1C87"/>
    <w:rsid w:val="000D233C"/>
    <w:rsid w:val="000D3D2E"/>
    <w:rsid w:val="000D43D2"/>
    <w:rsid w:val="000D4754"/>
    <w:rsid w:val="000D4899"/>
    <w:rsid w:val="000D5711"/>
    <w:rsid w:val="000D5C17"/>
    <w:rsid w:val="000D69A9"/>
    <w:rsid w:val="000E0917"/>
    <w:rsid w:val="000E2453"/>
    <w:rsid w:val="000E2FD6"/>
    <w:rsid w:val="000E4F57"/>
    <w:rsid w:val="000E5575"/>
    <w:rsid w:val="000E55A2"/>
    <w:rsid w:val="000E7F10"/>
    <w:rsid w:val="000F029B"/>
    <w:rsid w:val="000F041D"/>
    <w:rsid w:val="000F2BC0"/>
    <w:rsid w:val="000F338B"/>
    <w:rsid w:val="000F33B4"/>
    <w:rsid w:val="000F5530"/>
    <w:rsid w:val="000F6A40"/>
    <w:rsid w:val="000F6AF3"/>
    <w:rsid w:val="000F71E9"/>
    <w:rsid w:val="00100E85"/>
    <w:rsid w:val="0010281B"/>
    <w:rsid w:val="0010394B"/>
    <w:rsid w:val="0010451E"/>
    <w:rsid w:val="00104822"/>
    <w:rsid w:val="00106073"/>
    <w:rsid w:val="001077AF"/>
    <w:rsid w:val="00110055"/>
    <w:rsid w:val="00112E7E"/>
    <w:rsid w:val="001137F3"/>
    <w:rsid w:val="00113A33"/>
    <w:rsid w:val="00113A59"/>
    <w:rsid w:val="0011402F"/>
    <w:rsid w:val="00114615"/>
    <w:rsid w:val="00115E03"/>
    <w:rsid w:val="00125C50"/>
    <w:rsid w:val="00127E5F"/>
    <w:rsid w:val="00130712"/>
    <w:rsid w:val="0013133F"/>
    <w:rsid w:val="00133DAA"/>
    <w:rsid w:val="001346EF"/>
    <w:rsid w:val="001347DE"/>
    <w:rsid w:val="00134905"/>
    <w:rsid w:val="00134A52"/>
    <w:rsid w:val="00134EDE"/>
    <w:rsid w:val="001368D3"/>
    <w:rsid w:val="00137F66"/>
    <w:rsid w:val="00140C57"/>
    <w:rsid w:val="00141847"/>
    <w:rsid w:val="001430F5"/>
    <w:rsid w:val="00144683"/>
    <w:rsid w:val="00144E03"/>
    <w:rsid w:val="00145198"/>
    <w:rsid w:val="00145721"/>
    <w:rsid w:val="001460A7"/>
    <w:rsid w:val="0014670C"/>
    <w:rsid w:val="00146D56"/>
    <w:rsid w:val="00150A17"/>
    <w:rsid w:val="001513AF"/>
    <w:rsid w:val="00151C7B"/>
    <w:rsid w:val="001540D4"/>
    <w:rsid w:val="00156B18"/>
    <w:rsid w:val="001577ED"/>
    <w:rsid w:val="00157C41"/>
    <w:rsid w:val="001600BC"/>
    <w:rsid w:val="00160EF0"/>
    <w:rsid w:val="00162D50"/>
    <w:rsid w:val="0016434D"/>
    <w:rsid w:val="00164402"/>
    <w:rsid w:val="001647DD"/>
    <w:rsid w:val="0016621A"/>
    <w:rsid w:val="00166BA1"/>
    <w:rsid w:val="00166F6E"/>
    <w:rsid w:val="00167BF6"/>
    <w:rsid w:val="00172934"/>
    <w:rsid w:val="00173C43"/>
    <w:rsid w:val="00177608"/>
    <w:rsid w:val="00177B09"/>
    <w:rsid w:val="00177B3B"/>
    <w:rsid w:val="00180EE6"/>
    <w:rsid w:val="001843B8"/>
    <w:rsid w:val="001921F9"/>
    <w:rsid w:val="0019333F"/>
    <w:rsid w:val="00193E8A"/>
    <w:rsid w:val="0019401B"/>
    <w:rsid w:val="00194C74"/>
    <w:rsid w:val="00195536"/>
    <w:rsid w:val="0019575D"/>
    <w:rsid w:val="00196418"/>
    <w:rsid w:val="00196C38"/>
    <w:rsid w:val="001A0E9C"/>
    <w:rsid w:val="001A1BD0"/>
    <w:rsid w:val="001A237A"/>
    <w:rsid w:val="001A349D"/>
    <w:rsid w:val="001A38A7"/>
    <w:rsid w:val="001A44A8"/>
    <w:rsid w:val="001A7AFE"/>
    <w:rsid w:val="001B1337"/>
    <w:rsid w:val="001B4D7A"/>
    <w:rsid w:val="001B50DB"/>
    <w:rsid w:val="001B5AE5"/>
    <w:rsid w:val="001B76C2"/>
    <w:rsid w:val="001C0342"/>
    <w:rsid w:val="001C1448"/>
    <w:rsid w:val="001C281B"/>
    <w:rsid w:val="001C471E"/>
    <w:rsid w:val="001C5293"/>
    <w:rsid w:val="001C63E4"/>
    <w:rsid w:val="001C69B7"/>
    <w:rsid w:val="001C7387"/>
    <w:rsid w:val="001D01F2"/>
    <w:rsid w:val="001D0F4B"/>
    <w:rsid w:val="001D3250"/>
    <w:rsid w:val="001D35B4"/>
    <w:rsid w:val="001D40AB"/>
    <w:rsid w:val="001D5EDC"/>
    <w:rsid w:val="001D5F9D"/>
    <w:rsid w:val="001D6041"/>
    <w:rsid w:val="001D61FE"/>
    <w:rsid w:val="001D6B3D"/>
    <w:rsid w:val="001D7931"/>
    <w:rsid w:val="001E17BF"/>
    <w:rsid w:val="001E1BB3"/>
    <w:rsid w:val="001E2F16"/>
    <w:rsid w:val="001E46AD"/>
    <w:rsid w:val="001E4E09"/>
    <w:rsid w:val="001E4F5C"/>
    <w:rsid w:val="001E5EEF"/>
    <w:rsid w:val="001E636C"/>
    <w:rsid w:val="001E7B56"/>
    <w:rsid w:val="001F1190"/>
    <w:rsid w:val="001F176F"/>
    <w:rsid w:val="001F207F"/>
    <w:rsid w:val="001F2801"/>
    <w:rsid w:val="001F3961"/>
    <w:rsid w:val="001F3E46"/>
    <w:rsid w:val="001F5A1F"/>
    <w:rsid w:val="001F6DFE"/>
    <w:rsid w:val="001F7DB5"/>
    <w:rsid w:val="00201248"/>
    <w:rsid w:val="00201927"/>
    <w:rsid w:val="00202A86"/>
    <w:rsid w:val="00205235"/>
    <w:rsid w:val="0020628F"/>
    <w:rsid w:val="00207D0E"/>
    <w:rsid w:val="0021023E"/>
    <w:rsid w:val="002106CD"/>
    <w:rsid w:val="00212EB5"/>
    <w:rsid w:val="00212EC4"/>
    <w:rsid w:val="00213BB8"/>
    <w:rsid w:val="00214236"/>
    <w:rsid w:val="00214245"/>
    <w:rsid w:val="00214BC8"/>
    <w:rsid w:val="002156A1"/>
    <w:rsid w:val="00215736"/>
    <w:rsid w:val="00216909"/>
    <w:rsid w:val="00217ED0"/>
    <w:rsid w:val="002207E2"/>
    <w:rsid w:val="002221C0"/>
    <w:rsid w:val="00223D6B"/>
    <w:rsid w:val="0022652E"/>
    <w:rsid w:val="00230015"/>
    <w:rsid w:val="002304C3"/>
    <w:rsid w:val="00235221"/>
    <w:rsid w:val="00235308"/>
    <w:rsid w:val="00236386"/>
    <w:rsid w:val="00237416"/>
    <w:rsid w:val="0023778D"/>
    <w:rsid w:val="00240D49"/>
    <w:rsid w:val="00242014"/>
    <w:rsid w:val="00242D23"/>
    <w:rsid w:val="00243765"/>
    <w:rsid w:val="002451CB"/>
    <w:rsid w:val="00245CC3"/>
    <w:rsid w:val="00250762"/>
    <w:rsid w:val="00250E0B"/>
    <w:rsid w:val="00250E65"/>
    <w:rsid w:val="0025309D"/>
    <w:rsid w:val="00253FE2"/>
    <w:rsid w:val="00254882"/>
    <w:rsid w:val="0025501A"/>
    <w:rsid w:val="002550AB"/>
    <w:rsid w:val="00256016"/>
    <w:rsid w:val="00256FA5"/>
    <w:rsid w:val="00256FAA"/>
    <w:rsid w:val="00260B77"/>
    <w:rsid w:val="002623D7"/>
    <w:rsid w:val="00262879"/>
    <w:rsid w:val="0026487A"/>
    <w:rsid w:val="00264EBF"/>
    <w:rsid w:val="00264F92"/>
    <w:rsid w:val="002663AF"/>
    <w:rsid w:val="00270C5D"/>
    <w:rsid w:val="00271EA4"/>
    <w:rsid w:val="0027225D"/>
    <w:rsid w:val="00272631"/>
    <w:rsid w:val="00272DE2"/>
    <w:rsid w:val="002732B2"/>
    <w:rsid w:val="00273FD7"/>
    <w:rsid w:val="00276F0B"/>
    <w:rsid w:val="00281D5A"/>
    <w:rsid w:val="00283811"/>
    <w:rsid w:val="00285492"/>
    <w:rsid w:val="00293A7B"/>
    <w:rsid w:val="00293D67"/>
    <w:rsid w:val="00293F39"/>
    <w:rsid w:val="00295241"/>
    <w:rsid w:val="00295734"/>
    <w:rsid w:val="002977B8"/>
    <w:rsid w:val="002A13DC"/>
    <w:rsid w:val="002A1826"/>
    <w:rsid w:val="002A2622"/>
    <w:rsid w:val="002A4136"/>
    <w:rsid w:val="002A46AB"/>
    <w:rsid w:val="002A6373"/>
    <w:rsid w:val="002B043F"/>
    <w:rsid w:val="002B0BA8"/>
    <w:rsid w:val="002B1B45"/>
    <w:rsid w:val="002B3AB6"/>
    <w:rsid w:val="002B62F9"/>
    <w:rsid w:val="002B6CE1"/>
    <w:rsid w:val="002C1C60"/>
    <w:rsid w:val="002C3EC0"/>
    <w:rsid w:val="002C6EB8"/>
    <w:rsid w:val="002C7082"/>
    <w:rsid w:val="002C7FE8"/>
    <w:rsid w:val="002D06AB"/>
    <w:rsid w:val="002D1482"/>
    <w:rsid w:val="002D2B06"/>
    <w:rsid w:val="002D3502"/>
    <w:rsid w:val="002D540C"/>
    <w:rsid w:val="002E0881"/>
    <w:rsid w:val="002E1698"/>
    <w:rsid w:val="002E267A"/>
    <w:rsid w:val="002E2E53"/>
    <w:rsid w:val="002E3972"/>
    <w:rsid w:val="002E3A8F"/>
    <w:rsid w:val="002E3D2F"/>
    <w:rsid w:val="002E4060"/>
    <w:rsid w:val="002E61AD"/>
    <w:rsid w:val="002F19B5"/>
    <w:rsid w:val="002F283E"/>
    <w:rsid w:val="002F4A2B"/>
    <w:rsid w:val="002F4C78"/>
    <w:rsid w:val="002F55F2"/>
    <w:rsid w:val="002F5A31"/>
    <w:rsid w:val="002F6F3C"/>
    <w:rsid w:val="002F7A66"/>
    <w:rsid w:val="00301F35"/>
    <w:rsid w:val="00302884"/>
    <w:rsid w:val="00303FA5"/>
    <w:rsid w:val="00304728"/>
    <w:rsid w:val="003053D6"/>
    <w:rsid w:val="003102A3"/>
    <w:rsid w:val="00310752"/>
    <w:rsid w:val="003107A3"/>
    <w:rsid w:val="00310D0F"/>
    <w:rsid w:val="00311791"/>
    <w:rsid w:val="00311B75"/>
    <w:rsid w:val="003123D1"/>
    <w:rsid w:val="003141CB"/>
    <w:rsid w:val="00314FA5"/>
    <w:rsid w:val="00315D9F"/>
    <w:rsid w:val="00315E15"/>
    <w:rsid w:val="00317EDC"/>
    <w:rsid w:val="003204D2"/>
    <w:rsid w:val="00322402"/>
    <w:rsid w:val="00324BE3"/>
    <w:rsid w:val="00326237"/>
    <w:rsid w:val="003314CB"/>
    <w:rsid w:val="003317D6"/>
    <w:rsid w:val="0033205A"/>
    <w:rsid w:val="0033221B"/>
    <w:rsid w:val="00332A93"/>
    <w:rsid w:val="003331E3"/>
    <w:rsid w:val="00341667"/>
    <w:rsid w:val="00341C11"/>
    <w:rsid w:val="00343A3B"/>
    <w:rsid w:val="00344652"/>
    <w:rsid w:val="00346ACF"/>
    <w:rsid w:val="00347254"/>
    <w:rsid w:val="0035009F"/>
    <w:rsid w:val="0035041B"/>
    <w:rsid w:val="00350938"/>
    <w:rsid w:val="00350CD2"/>
    <w:rsid w:val="00352100"/>
    <w:rsid w:val="003527C9"/>
    <w:rsid w:val="0035569A"/>
    <w:rsid w:val="00356E35"/>
    <w:rsid w:val="003573CA"/>
    <w:rsid w:val="00357475"/>
    <w:rsid w:val="00362DB4"/>
    <w:rsid w:val="003633A6"/>
    <w:rsid w:val="0036561E"/>
    <w:rsid w:val="0036738E"/>
    <w:rsid w:val="00367A1C"/>
    <w:rsid w:val="00367A74"/>
    <w:rsid w:val="00370146"/>
    <w:rsid w:val="00370D87"/>
    <w:rsid w:val="00371438"/>
    <w:rsid w:val="00372E02"/>
    <w:rsid w:val="00373276"/>
    <w:rsid w:val="00374710"/>
    <w:rsid w:val="00380996"/>
    <w:rsid w:val="0038187E"/>
    <w:rsid w:val="0038211A"/>
    <w:rsid w:val="00382AC2"/>
    <w:rsid w:val="00383F7F"/>
    <w:rsid w:val="003842F1"/>
    <w:rsid w:val="0038491A"/>
    <w:rsid w:val="00390683"/>
    <w:rsid w:val="003907BA"/>
    <w:rsid w:val="003917A4"/>
    <w:rsid w:val="00392969"/>
    <w:rsid w:val="00393554"/>
    <w:rsid w:val="00394000"/>
    <w:rsid w:val="0039535B"/>
    <w:rsid w:val="00397D18"/>
    <w:rsid w:val="003A19C2"/>
    <w:rsid w:val="003A1AE2"/>
    <w:rsid w:val="003A27B9"/>
    <w:rsid w:val="003A4735"/>
    <w:rsid w:val="003A4B35"/>
    <w:rsid w:val="003A5696"/>
    <w:rsid w:val="003A667E"/>
    <w:rsid w:val="003A686A"/>
    <w:rsid w:val="003A73E6"/>
    <w:rsid w:val="003A75AC"/>
    <w:rsid w:val="003A7AEE"/>
    <w:rsid w:val="003B009B"/>
    <w:rsid w:val="003B724A"/>
    <w:rsid w:val="003B7E67"/>
    <w:rsid w:val="003C159F"/>
    <w:rsid w:val="003C1D58"/>
    <w:rsid w:val="003C1EB2"/>
    <w:rsid w:val="003C48F2"/>
    <w:rsid w:val="003C5338"/>
    <w:rsid w:val="003C5904"/>
    <w:rsid w:val="003C651B"/>
    <w:rsid w:val="003C6FA1"/>
    <w:rsid w:val="003D0FF0"/>
    <w:rsid w:val="003D1255"/>
    <w:rsid w:val="003D1C27"/>
    <w:rsid w:val="003D1E7D"/>
    <w:rsid w:val="003D28AE"/>
    <w:rsid w:val="003D6D88"/>
    <w:rsid w:val="003D74A6"/>
    <w:rsid w:val="003E0B12"/>
    <w:rsid w:val="003E1134"/>
    <w:rsid w:val="003E1D3F"/>
    <w:rsid w:val="003E3E74"/>
    <w:rsid w:val="003E53FE"/>
    <w:rsid w:val="003E6A84"/>
    <w:rsid w:val="003E75FF"/>
    <w:rsid w:val="003E7910"/>
    <w:rsid w:val="003E7ACF"/>
    <w:rsid w:val="003E7C4D"/>
    <w:rsid w:val="003F1436"/>
    <w:rsid w:val="003F1BFE"/>
    <w:rsid w:val="003F29D0"/>
    <w:rsid w:val="003F2FDE"/>
    <w:rsid w:val="003F4821"/>
    <w:rsid w:val="003F6944"/>
    <w:rsid w:val="00400332"/>
    <w:rsid w:val="0040251B"/>
    <w:rsid w:val="00402DDE"/>
    <w:rsid w:val="00403618"/>
    <w:rsid w:val="00403A6F"/>
    <w:rsid w:val="004049E2"/>
    <w:rsid w:val="00404AAF"/>
    <w:rsid w:val="004062BB"/>
    <w:rsid w:val="004064EC"/>
    <w:rsid w:val="00407CBA"/>
    <w:rsid w:val="004104DE"/>
    <w:rsid w:val="00410A24"/>
    <w:rsid w:val="004111AD"/>
    <w:rsid w:val="004113AC"/>
    <w:rsid w:val="0041143A"/>
    <w:rsid w:val="004156D9"/>
    <w:rsid w:val="00416C64"/>
    <w:rsid w:val="004171DE"/>
    <w:rsid w:val="00417D88"/>
    <w:rsid w:val="00417E4F"/>
    <w:rsid w:val="00422089"/>
    <w:rsid w:val="00423FEB"/>
    <w:rsid w:val="00424611"/>
    <w:rsid w:val="00425981"/>
    <w:rsid w:val="004309AE"/>
    <w:rsid w:val="00431434"/>
    <w:rsid w:val="00431ED7"/>
    <w:rsid w:val="00431F5D"/>
    <w:rsid w:val="00433169"/>
    <w:rsid w:val="00434470"/>
    <w:rsid w:val="00435AC4"/>
    <w:rsid w:val="00435BC0"/>
    <w:rsid w:val="00436E32"/>
    <w:rsid w:val="00437442"/>
    <w:rsid w:val="0043792E"/>
    <w:rsid w:val="00437BD3"/>
    <w:rsid w:val="00440FB5"/>
    <w:rsid w:val="00441264"/>
    <w:rsid w:val="00442D53"/>
    <w:rsid w:val="004435CB"/>
    <w:rsid w:val="00443909"/>
    <w:rsid w:val="00445941"/>
    <w:rsid w:val="00445A0E"/>
    <w:rsid w:val="004500F5"/>
    <w:rsid w:val="00450776"/>
    <w:rsid w:val="00450DA0"/>
    <w:rsid w:val="0045138A"/>
    <w:rsid w:val="0045218F"/>
    <w:rsid w:val="00452832"/>
    <w:rsid w:val="00454BF8"/>
    <w:rsid w:val="00455352"/>
    <w:rsid w:val="0045574B"/>
    <w:rsid w:val="00456AA2"/>
    <w:rsid w:val="00457163"/>
    <w:rsid w:val="00462982"/>
    <w:rsid w:val="00462BF0"/>
    <w:rsid w:val="00463171"/>
    <w:rsid w:val="004635CE"/>
    <w:rsid w:val="00463EF1"/>
    <w:rsid w:val="004647B0"/>
    <w:rsid w:val="004655C5"/>
    <w:rsid w:val="00466F4F"/>
    <w:rsid w:val="00467F9C"/>
    <w:rsid w:val="00470BD3"/>
    <w:rsid w:val="0047155C"/>
    <w:rsid w:val="00473AAC"/>
    <w:rsid w:val="00476927"/>
    <w:rsid w:val="0047767B"/>
    <w:rsid w:val="00477C04"/>
    <w:rsid w:val="0048041B"/>
    <w:rsid w:val="00480AF2"/>
    <w:rsid w:val="00481A1F"/>
    <w:rsid w:val="0048267A"/>
    <w:rsid w:val="004853BB"/>
    <w:rsid w:val="00485BE1"/>
    <w:rsid w:val="00486724"/>
    <w:rsid w:val="00486A6E"/>
    <w:rsid w:val="00487FA5"/>
    <w:rsid w:val="00490DF9"/>
    <w:rsid w:val="0049107D"/>
    <w:rsid w:val="00493297"/>
    <w:rsid w:val="00493ABC"/>
    <w:rsid w:val="00495015"/>
    <w:rsid w:val="004962D3"/>
    <w:rsid w:val="0049651E"/>
    <w:rsid w:val="004A13F2"/>
    <w:rsid w:val="004A2C8C"/>
    <w:rsid w:val="004A2E1C"/>
    <w:rsid w:val="004A4374"/>
    <w:rsid w:val="004A49DC"/>
    <w:rsid w:val="004A4A87"/>
    <w:rsid w:val="004A59D9"/>
    <w:rsid w:val="004B0237"/>
    <w:rsid w:val="004B1630"/>
    <w:rsid w:val="004B2F57"/>
    <w:rsid w:val="004B4733"/>
    <w:rsid w:val="004B5BF9"/>
    <w:rsid w:val="004B6403"/>
    <w:rsid w:val="004B6FF1"/>
    <w:rsid w:val="004B7024"/>
    <w:rsid w:val="004B79B4"/>
    <w:rsid w:val="004B7E59"/>
    <w:rsid w:val="004C1610"/>
    <w:rsid w:val="004C190F"/>
    <w:rsid w:val="004C4224"/>
    <w:rsid w:val="004C4243"/>
    <w:rsid w:val="004C6338"/>
    <w:rsid w:val="004C74F7"/>
    <w:rsid w:val="004D0C21"/>
    <w:rsid w:val="004D16C7"/>
    <w:rsid w:val="004D39F9"/>
    <w:rsid w:val="004D5655"/>
    <w:rsid w:val="004D6088"/>
    <w:rsid w:val="004E141B"/>
    <w:rsid w:val="004E15DD"/>
    <w:rsid w:val="004E592B"/>
    <w:rsid w:val="004E6156"/>
    <w:rsid w:val="004E7806"/>
    <w:rsid w:val="004F0A44"/>
    <w:rsid w:val="004F1006"/>
    <w:rsid w:val="004F238E"/>
    <w:rsid w:val="004F4BDE"/>
    <w:rsid w:val="004F4C85"/>
    <w:rsid w:val="004F580D"/>
    <w:rsid w:val="004F5D8E"/>
    <w:rsid w:val="004F716C"/>
    <w:rsid w:val="004F72BF"/>
    <w:rsid w:val="00500B31"/>
    <w:rsid w:val="005022C5"/>
    <w:rsid w:val="00502C29"/>
    <w:rsid w:val="00503E03"/>
    <w:rsid w:val="00504423"/>
    <w:rsid w:val="0050446A"/>
    <w:rsid w:val="00505174"/>
    <w:rsid w:val="0050534C"/>
    <w:rsid w:val="0050610C"/>
    <w:rsid w:val="005064F0"/>
    <w:rsid w:val="0051027D"/>
    <w:rsid w:val="00510A64"/>
    <w:rsid w:val="0051142F"/>
    <w:rsid w:val="00511736"/>
    <w:rsid w:val="00511B68"/>
    <w:rsid w:val="00513A3B"/>
    <w:rsid w:val="005164D4"/>
    <w:rsid w:val="005178E0"/>
    <w:rsid w:val="00521A5E"/>
    <w:rsid w:val="00521D35"/>
    <w:rsid w:val="0052416C"/>
    <w:rsid w:val="0052479E"/>
    <w:rsid w:val="00524ADE"/>
    <w:rsid w:val="005250DB"/>
    <w:rsid w:val="005259FE"/>
    <w:rsid w:val="005271B6"/>
    <w:rsid w:val="005273C2"/>
    <w:rsid w:val="0053111C"/>
    <w:rsid w:val="00536551"/>
    <w:rsid w:val="00536CA7"/>
    <w:rsid w:val="005370EA"/>
    <w:rsid w:val="00537A58"/>
    <w:rsid w:val="005403B2"/>
    <w:rsid w:val="005408DE"/>
    <w:rsid w:val="005412FE"/>
    <w:rsid w:val="00544AB3"/>
    <w:rsid w:val="00544BAF"/>
    <w:rsid w:val="00545A58"/>
    <w:rsid w:val="00545D64"/>
    <w:rsid w:val="00546180"/>
    <w:rsid w:val="00552226"/>
    <w:rsid w:val="00552597"/>
    <w:rsid w:val="005541BF"/>
    <w:rsid w:val="00555B5E"/>
    <w:rsid w:val="00556F87"/>
    <w:rsid w:val="00557C09"/>
    <w:rsid w:val="00557FA1"/>
    <w:rsid w:val="00560B00"/>
    <w:rsid w:val="00561D34"/>
    <w:rsid w:val="005629FC"/>
    <w:rsid w:val="00562D28"/>
    <w:rsid w:val="00563267"/>
    <w:rsid w:val="00564577"/>
    <w:rsid w:val="00564691"/>
    <w:rsid w:val="00565763"/>
    <w:rsid w:val="00566E7B"/>
    <w:rsid w:val="005721FE"/>
    <w:rsid w:val="0057268E"/>
    <w:rsid w:val="00575E76"/>
    <w:rsid w:val="00577D1A"/>
    <w:rsid w:val="005815ED"/>
    <w:rsid w:val="00581988"/>
    <w:rsid w:val="00582610"/>
    <w:rsid w:val="005835A4"/>
    <w:rsid w:val="00583F70"/>
    <w:rsid w:val="005869F6"/>
    <w:rsid w:val="005878B3"/>
    <w:rsid w:val="00587DCA"/>
    <w:rsid w:val="005952B6"/>
    <w:rsid w:val="005966EC"/>
    <w:rsid w:val="005A04DD"/>
    <w:rsid w:val="005A198F"/>
    <w:rsid w:val="005A2DA3"/>
    <w:rsid w:val="005A2EA5"/>
    <w:rsid w:val="005B04A4"/>
    <w:rsid w:val="005B0549"/>
    <w:rsid w:val="005B1CFD"/>
    <w:rsid w:val="005B41ED"/>
    <w:rsid w:val="005B55D2"/>
    <w:rsid w:val="005B5EAA"/>
    <w:rsid w:val="005B6224"/>
    <w:rsid w:val="005B6743"/>
    <w:rsid w:val="005B68E4"/>
    <w:rsid w:val="005B7607"/>
    <w:rsid w:val="005B7C2C"/>
    <w:rsid w:val="005C1145"/>
    <w:rsid w:val="005C1B73"/>
    <w:rsid w:val="005C1BB3"/>
    <w:rsid w:val="005C2D31"/>
    <w:rsid w:val="005C2D79"/>
    <w:rsid w:val="005C2FEF"/>
    <w:rsid w:val="005C3574"/>
    <w:rsid w:val="005C3683"/>
    <w:rsid w:val="005C398A"/>
    <w:rsid w:val="005C3E01"/>
    <w:rsid w:val="005C60B6"/>
    <w:rsid w:val="005C722A"/>
    <w:rsid w:val="005D08E3"/>
    <w:rsid w:val="005D1096"/>
    <w:rsid w:val="005D214A"/>
    <w:rsid w:val="005D44C2"/>
    <w:rsid w:val="005D4598"/>
    <w:rsid w:val="005D50A0"/>
    <w:rsid w:val="005D511D"/>
    <w:rsid w:val="005D52FE"/>
    <w:rsid w:val="005D5393"/>
    <w:rsid w:val="005D577A"/>
    <w:rsid w:val="005D587A"/>
    <w:rsid w:val="005E0A08"/>
    <w:rsid w:val="005E2752"/>
    <w:rsid w:val="005E48D3"/>
    <w:rsid w:val="005E5383"/>
    <w:rsid w:val="005E5694"/>
    <w:rsid w:val="005E74A9"/>
    <w:rsid w:val="005F085E"/>
    <w:rsid w:val="005F0E2F"/>
    <w:rsid w:val="005F102B"/>
    <w:rsid w:val="005F1A3F"/>
    <w:rsid w:val="005F1CA9"/>
    <w:rsid w:val="005F2902"/>
    <w:rsid w:val="005F29F9"/>
    <w:rsid w:val="005F3880"/>
    <w:rsid w:val="005F46B0"/>
    <w:rsid w:val="005F4BFB"/>
    <w:rsid w:val="005F4DBE"/>
    <w:rsid w:val="005F5B65"/>
    <w:rsid w:val="005F6434"/>
    <w:rsid w:val="005F74C4"/>
    <w:rsid w:val="00605A53"/>
    <w:rsid w:val="00606F05"/>
    <w:rsid w:val="00610106"/>
    <w:rsid w:val="006102AC"/>
    <w:rsid w:val="00610826"/>
    <w:rsid w:val="00610C10"/>
    <w:rsid w:val="00611A57"/>
    <w:rsid w:val="00614DC3"/>
    <w:rsid w:val="00615DD3"/>
    <w:rsid w:val="00616060"/>
    <w:rsid w:val="006176AC"/>
    <w:rsid w:val="006211F6"/>
    <w:rsid w:val="00621338"/>
    <w:rsid w:val="00621C2E"/>
    <w:rsid w:val="006222A0"/>
    <w:rsid w:val="00622F6E"/>
    <w:rsid w:val="00625233"/>
    <w:rsid w:val="006253C4"/>
    <w:rsid w:val="0062770C"/>
    <w:rsid w:val="00627F0E"/>
    <w:rsid w:val="0063087F"/>
    <w:rsid w:val="00630B14"/>
    <w:rsid w:val="006317D5"/>
    <w:rsid w:val="0063634F"/>
    <w:rsid w:val="00637150"/>
    <w:rsid w:val="00637342"/>
    <w:rsid w:val="00637F2D"/>
    <w:rsid w:val="006422D5"/>
    <w:rsid w:val="00642473"/>
    <w:rsid w:val="006450FB"/>
    <w:rsid w:val="00645556"/>
    <w:rsid w:val="00645AE2"/>
    <w:rsid w:val="00647DC6"/>
    <w:rsid w:val="00650727"/>
    <w:rsid w:val="00654696"/>
    <w:rsid w:val="00654922"/>
    <w:rsid w:val="00656674"/>
    <w:rsid w:val="00657952"/>
    <w:rsid w:val="00660079"/>
    <w:rsid w:val="00660517"/>
    <w:rsid w:val="00661483"/>
    <w:rsid w:val="00661876"/>
    <w:rsid w:val="00662498"/>
    <w:rsid w:val="006640D3"/>
    <w:rsid w:val="0066681D"/>
    <w:rsid w:val="006676E7"/>
    <w:rsid w:val="006708D9"/>
    <w:rsid w:val="006711AB"/>
    <w:rsid w:val="00672644"/>
    <w:rsid w:val="006731EF"/>
    <w:rsid w:val="00673CB5"/>
    <w:rsid w:val="0067698F"/>
    <w:rsid w:val="00677C78"/>
    <w:rsid w:val="006818E0"/>
    <w:rsid w:val="00685043"/>
    <w:rsid w:val="00686399"/>
    <w:rsid w:val="006901EF"/>
    <w:rsid w:val="006913FC"/>
    <w:rsid w:val="00691565"/>
    <w:rsid w:val="00692289"/>
    <w:rsid w:val="00693CE0"/>
    <w:rsid w:val="00694305"/>
    <w:rsid w:val="006947CE"/>
    <w:rsid w:val="00696D20"/>
    <w:rsid w:val="006971B9"/>
    <w:rsid w:val="006A086B"/>
    <w:rsid w:val="006A1FAA"/>
    <w:rsid w:val="006A2536"/>
    <w:rsid w:val="006A4850"/>
    <w:rsid w:val="006A55DE"/>
    <w:rsid w:val="006A647F"/>
    <w:rsid w:val="006A68F5"/>
    <w:rsid w:val="006A75EE"/>
    <w:rsid w:val="006A7853"/>
    <w:rsid w:val="006B010E"/>
    <w:rsid w:val="006B0CDF"/>
    <w:rsid w:val="006B21B9"/>
    <w:rsid w:val="006B3123"/>
    <w:rsid w:val="006B33A4"/>
    <w:rsid w:val="006B6F82"/>
    <w:rsid w:val="006B7365"/>
    <w:rsid w:val="006B7A15"/>
    <w:rsid w:val="006C12B6"/>
    <w:rsid w:val="006C2AE1"/>
    <w:rsid w:val="006C3183"/>
    <w:rsid w:val="006C3A05"/>
    <w:rsid w:val="006C41B5"/>
    <w:rsid w:val="006C4EA0"/>
    <w:rsid w:val="006C5B34"/>
    <w:rsid w:val="006D2501"/>
    <w:rsid w:val="006D2963"/>
    <w:rsid w:val="006D3330"/>
    <w:rsid w:val="006D376B"/>
    <w:rsid w:val="006E096F"/>
    <w:rsid w:val="006E14CF"/>
    <w:rsid w:val="006E21ED"/>
    <w:rsid w:val="006E5FBE"/>
    <w:rsid w:val="006F0D64"/>
    <w:rsid w:val="006F0E18"/>
    <w:rsid w:val="006F190F"/>
    <w:rsid w:val="006F371B"/>
    <w:rsid w:val="006F3EE3"/>
    <w:rsid w:val="006F4F5D"/>
    <w:rsid w:val="0070341B"/>
    <w:rsid w:val="0070657B"/>
    <w:rsid w:val="00707A20"/>
    <w:rsid w:val="0071022C"/>
    <w:rsid w:val="00710CB5"/>
    <w:rsid w:val="00713941"/>
    <w:rsid w:val="00713D14"/>
    <w:rsid w:val="007142B4"/>
    <w:rsid w:val="00714F20"/>
    <w:rsid w:val="0071529C"/>
    <w:rsid w:val="00715849"/>
    <w:rsid w:val="00716202"/>
    <w:rsid w:val="00720082"/>
    <w:rsid w:val="007202DE"/>
    <w:rsid w:val="00720751"/>
    <w:rsid w:val="00722313"/>
    <w:rsid w:val="00722453"/>
    <w:rsid w:val="007231BF"/>
    <w:rsid w:val="00723B1E"/>
    <w:rsid w:val="0072529C"/>
    <w:rsid w:val="00727B6A"/>
    <w:rsid w:val="00727D7D"/>
    <w:rsid w:val="0073019F"/>
    <w:rsid w:val="00730D60"/>
    <w:rsid w:val="00730DF6"/>
    <w:rsid w:val="007312D3"/>
    <w:rsid w:val="0073151B"/>
    <w:rsid w:val="00733D7A"/>
    <w:rsid w:val="00733E51"/>
    <w:rsid w:val="00735210"/>
    <w:rsid w:val="0073634B"/>
    <w:rsid w:val="007379F1"/>
    <w:rsid w:val="00740438"/>
    <w:rsid w:val="007406EB"/>
    <w:rsid w:val="007412D7"/>
    <w:rsid w:val="007415A8"/>
    <w:rsid w:val="007443FC"/>
    <w:rsid w:val="00744DD3"/>
    <w:rsid w:val="0074524B"/>
    <w:rsid w:val="007476F6"/>
    <w:rsid w:val="00747C42"/>
    <w:rsid w:val="00750520"/>
    <w:rsid w:val="007507B8"/>
    <w:rsid w:val="00751D30"/>
    <w:rsid w:val="00752728"/>
    <w:rsid w:val="007558F1"/>
    <w:rsid w:val="00755A59"/>
    <w:rsid w:val="007570F2"/>
    <w:rsid w:val="00757E8B"/>
    <w:rsid w:val="00761EE6"/>
    <w:rsid w:val="00763087"/>
    <w:rsid w:val="0076332D"/>
    <w:rsid w:val="0076403E"/>
    <w:rsid w:val="00765508"/>
    <w:rsid w:val="00765829"/>
    <w:rsid w:val="0076694A"/>
    <w:rsid w:val="00766EFF"/>
    <w:rsid w:val="00766FD9"/>
    <w:rsid w:val="007674CE"/>
    <w:rsid w:val="007710F9"/>
    <w:rsid w:val="007722B7"/>
    <w:rsid w:val="00777266"/>
    <w:rsid w:val="00777BD2"/>
    <w:rsid w:val="00780458"/>
    <w:rsid w:val="00780AA3"/>
    <w:rsid w:val="00782665"/>
    <w:rsid w:val="00784186"/>
    <w:rsid w:val="00786C26"/>
    <w:rsid w:val="00787A20"/>
    <w:rsid w:val="00787AD2"/>
    <w:rsid w:val="007907B6"/>
    <w:rsid w:val="0079181F"/>
    <w:rsid w:val="00791988"/>
    <w:rsid w:val="0079266B"/>
    <w:rsid w:val="00792A9F"/>
    <w:rsid w:val="00793199"/>
    <w:rsid w:val="0079442F"/>
    <w:rsid w:val="00794AB4"/>
    <w:rsid w:val="00794C86"/>
    <w:rsid w:val="00795ACD"/>
    <w:rsid w:val="007975DB"/>
    <w:rsid w:val="007A0A43"/>
    <w:rsid w:val="007A0D5E"/>
    <w:rsid w:val="007A2987"/>
    <w:rsid w:val="007A2A58"/>
    <w:rsid w:val="007A2C95"/>
    <w:rsid w:val="007A3157"/>
    <w:rsid w:val="007A3836"/>
    <w:rsid w:val="007A3EB1"/>
    <w:rsid w:val="007A5850"/>
    <w:rsid w:val="007A610F"/>
    <w:rsid w:val="007A6B65"/>
    <w:rsid w:val="007A7692"/>
    <w:rsid w:val="007A7696"/>
    <w:rsid w:val="007B10EF"/>
    <w:rsid w:val="007B19C4"/>
    <w:rsid w:val="007B324C"/>
    <w:rsid w:val="007B5C6A"/>
    <w:rsid w:val="007C03B7"/>
    <w:rsid w:val="007C0D1C"/>
    <w:rsid w:val="007C16B0"/>
    <w:rsid w:val="007C24A3"/>
    <w:rsid w:val="007C3C19"/>
    <w:rsid w:val="007C582D"/>
    <w:rsid w:val="007C6A8C"/>
    <w:rsid w:val="007C7322"/>
    <w:rsid w:val="007D27DD"/>
    <w:rsid w:val="007D32D2"/>
    <w:rsid w:val="007D35E7"/>
    <w:rsid w:val="007D442F"/>
    <w:rsid w:val="007D734B"/>
    <w:rsid w:val="007D7877"/>
    <w:rsid w:val="007D7C6C"/>
    <w:rsid w:val="007E1E1E"/>
    <w:rsid w:val="007E3E98"/>
    <w:rsid w:val="007E3F5B"/>
    <w:rsid w:val="007E4291"/>
    <w:rsid w:val="007E4CA3"/>
    <w:rsid w:val="007E608C"/>
    <w:rsid w:val="007E652F"/>
    <w:rsid w:val="007E6C7C"/>
    <w:rsid w:val="007F0826"/>
    <w:rsid w:val="007F22BD"/>
    <w:rsid w:val="007F383F"/>
    <w:rsid w:val="007F466D"/>
    <w:rsid w:val="007F674C"/>
    <w:rsid w:val="0080098C"/>
    <w:rsid w:val="00801B6D"/>
    <w:rsid w:val="00801D2F"/>
    <w:rsid w:val="008023DA"/>
    <w:rsid w:val="00803903"/>
    <w:rsid w:val="00803B46"/>
    <w:rsid w:val="00803CAE"/>
    <w:rsid w:val="0080595B"/>
    <w:rsid w:val="00805C85"/>
    <w:rsid w:val="00811717"/>
    <w:rsid w:val="0081195B"/>
    <w:rsid w:val="00814311"/>
    <w:rsid w:val="00814ACB"/>
    <w:rsid w:val="00814BCF"/>
    <w:rsid w:val="00814D12"/>
    <w:rsid w:val="00816C05"/>
    <w:rsid w:val="00816F64"/>
    <w:rsid w:val="00817882"/>
    <w:rsid w:val="0082052A"/>
    <w:rsid w:val="0082059A"/>
    <w:rsid w:val="00821219"/>
    <w:rsid w:val="0082376D"/>
    <w:rsid w:val="00830711"/>
    <w:rsid w:val="00830B26"/>
    <w:rsid w:val="00831E86"/>
    <w:rsid w:val="0083488C"/>
    <w:rsid w:val="00835C03"/>
    <w:rsid w:val="00835C75"/>
    <w:rsid w:val="00836AD5"/>
    <w:rsid w:val="00836D79"/>
    <w:rsid w:val="008370D5"/>
    <w:rsid w:val="008378C0"/>
    <w:rsid w:val="00841275"/>
    <w:rsid w:val="008418C2"/>
    <w:rsid w:val="00843110"/>
    <w:rsid w:val="0084342E"/>
    <w:rsid w:val="008436CA"/>
    <w:rsid w:val="00844AC1"/>
    <w:rsid w:val="00846BD7"/>
    <w:rsid w:val="00847E04"/>
    <w:rsid w:val="008512DC"/>
    <w:rsid w:val="008513D2"/>
    <w:rsid w:val="00852FDD"/>
    <w:rsid w:val="00853AF9"/>
    <w:rsid w:val="00855AC4"/>
    <w:rsid w:val="00855EE0"/>
    <w:rsid w:val="00855FCB"/>
    <w:rsid w:val="008579C7"/>
    <w:rsid w:val="0086124C"/>
    <w:rsid w:val="00863A6A"/>
    <w:rsid w:val="00863DFE"/>
    <w:rsid w:val="008644C6"/>
    <w:rsid w:val="00864CDB"/>
    <w:rsid w:val="00865A24"/>
    <w:rsid w:val="00866438"/>
    <w:rsid w:val="00866BCF"/>
    <w:rsid w:val="00867670"/>
    <w:rsid w:val="00867FB2"/>
    <w:rsid w:val="00871051"/>
    <w:rsid w:val="008714FA"/>
    <w:rsid w:val="00871B11"/>
    <w:rsid w:val="00872380"/>
    <w:rsid w:val="0087380D"/>
    <w:rsid w:val="00874626"/>
    <w:rsid w:val="008749E4"/>
    <w:rsid w:val="00874BAD"/>
    <w:rsid w:val="0087675A"/>
    <w:rsid w:val="008778F7"/>
    <w:rsid w:val="00877F28"/>
    <w:rsid w:val="008813F1"/>
    <w:rsid w:val="00883436"/>
    <w:rsid w:val="00883870"/>
    <w:rsid w:val="008847F7"/>
    <w:rsid w:val="00886243"/>
    <w:rsid w:val="00887662"/>
    <w:rsid w:val="00887FF3"/>
    <w:rsid w:val="00891D75"/>
    <w:rsid w:val="008927EB"/>
    <w:rsid w:val="008929E4"/>
    <w:rsid w:val="00893238"/>
    <w:rsid w:val="00893FBE"/>
    <w:rsid w:val="0089436F"/>
    <w:rsid w:val="0089487A"/>
    <w:rsid w:val="008959AC"/>
    <w:rsid w:val="008973C8"/>
    <w:rsid w:val="008A03A2"/>
    <w:rsid w:val="008A1B04"/>
    <w:rsid w:val="008A23F3"/>
    <w:rsid w:val="008A3802"/>
    <w:rsid w:val="008A3999"/>
    <w:rsid w:val="008A4F53"/>
    <w:rsid w:val="008A51CD"/>
    <w:rsid w:val="008B014F"/>
    <w:rsid w:val="008B133B"/>
    <w:rsid w:val="008B158A"/>
    <w:rsid w:val="008B28A3"/>
    <w:rsid w:val="008B2A61"/>
    <w:rsid w:val="008C0A9B"/>
    <w:rsid w:val="008C0D23"/>
    <w:rsid w:val="008C147B"/>
    <w:rsid w:val="008C44D8"/>
    <w:rsid w:val="008C72B7"/>
    <w:rsid w:val="008D00BF"/>
    <w:rsid w:val="008D031A"/>
    <w:rsid w:val="008D206F"/>
    <w:rsid w:val="008D2C3E"/>
    <w:rsid w:val="008D38DC"/>
    <w:rsid w:val="008D4035"/>
    <w:rsid w:val="008D5D0E"/>
    <w:rsid w:val="008E0E1F"/>
    <w:rsid w:val="008E1262"/>
    <w:rsid w:val="008E1629"/>
    <w:rsid w:val="008E57EA"/>
    <w:rsid w:val="008E58A6"/>
    <w:rsid w:val="008E5C24"/>
    <w:rsid w:val="008E605E"/>
    <w:rsid w:val="008F03B6"/>
    <w:rsid w:val="008F0E3C"/>
    <w:rsid w:val="008F366D"/>
    <w:rsid w:val="008F408A"/>
    <w:rsid w:val="008F7EAF"/>
    <w:rsid w:val="00900443"/>
    <w:rsid w:val="009007A3"/>
    <w:rsid w:val="00901757"/>
    <w:rsid w:val="00903194"/>
    <w:rsid w:val="00903F9B"/>
    <w:rsid w:val="00904722"/>
    <w:rsid w:val="00904F0F"/>
    <w:rsid w:val="00905232"/>
    <w:rsid w:val="00905CA2"/>
    <w:rsid w:val="009078DC"/>
    <w:rsid w:val="0091114C"/>
    <w:rsid w:val="0091164F"/>
    <w:rsid w:val="00913B32"/>
    <w:rsid w:val="00916E6A"/>
    <w:rsid w:val="00917154"/>
    <w:rsid w:val="009173CD"/>
    <w:rsid w:val="00917BC3"/>
    <w:rsid w:val="00921C79"/>
    <w:rsid w:val="00921DEE"/>
    <w:rsid w:val="009222DB"/>
    <w:rsid w:val="0092326F"/>
    <w:rsid w:val="00924AE2"/>
    <w:rsid w:val="00925B6C"/>
    <w:rsid w:val="009303FE"/>
    <w:rsid w:val="009309C4"/>
    <w:rsid w:val="009318AC"/>
    <w:rsid w:val="00931A5A"/>
    <w:rsid w:val="00932B06"/>
    <w:rsid w:val="00933983"/>
    <w:rsid w:val="00934253"/>
    <w:rsid w:val="00934C9A"/>
    <w:rsid w:val="00935ADC"/>
    <w:rsid w:val="0093631C"/>
    <w:rsid w:val="00937562"/>
    <w:rsid w:val="00941505"/>
    <w:rsid w:val="00941E0C"/>
    <w:rsid w:val="009426A4"/>
    <w:rsid w:val="009455C5"/>
    <w:rsid w:val="00945742"/>
    <w:rsid w:val="00946030"/>
    <w:rsid w:val="00946410"/>
    <w:rsid w:val="00946F64"/>
    <w:rsid w:val="00947634"/>
    <w:rsid w:val="00951309"/>
    <w:rsid w:val="0095370B"/>
    <w:rsid w:val="0095448C"/>
    <w:rsid w:val="00955145"/>
    <w:rsid w:val="009575FD"/>
    <w:rsid w:val="009576B2"/>
    <w:rsid w:val="00960553"/>
    <w:rsid w:val="00960663"/>
    <w:rsid w:val="009607CC"/>
    <w:rsid w:val="00960DA9"/>
    <w:rsid w:val="0096104D"/>
    <w:rsid w:val="00962839"/>
    <w:rsid w:val="009631DA"/>
    <w:rsid w:val="00963C01"/>
    <w:rsid w:val="009647B5"/>
    <w:rsid w:val="00965558"/>
    <w:rsid w:val="009661C2"/>
    <w:rsid w:val="0096661D"/>
    <w:rsid w:val="00967D49"/>
    <w:rsid w:val="00970BB6"/>
    <w:rsid w:val="00971C2D"/>
    <w:rsid w:val="00971DEA"/>
    <w:rsid w:val="009774A7"/>
    <w:rsid w:val="00980B0D"/>
    <w:rsid w:val="009813A6"/>
    <w:rsid w:val="00983B93"/>
    <w:rsid w:val="0098767F"/>
    <w:rsid w:val="0099078C"/>
    <w:rsid w:val="009912DD"/>
    <w:rsid w:val="009921FC"/>
    <w:rsid w:val="009934AC"/>
    <w:rsid w:val="0099432D"/>
    <w:rsid w:val="00996217"/>
    <w:rsid w:val="00996858"/>
    <w:rsid w:val="009A11B4"/>
    <w:rsid w:val="009A19C8"/>
    <w:rsid w:val="009A1BC4"/>
    <w:rsid w:val="009A23E1"/>
    <w:rsid w:val="009A3677"/>
    <w:rsid w:val="009A3AE7"/>
    <w:rsid w:val="009A4057"/>
    <w:rsid w:val="009A52A8"/>
    <w:rsid w:val="009B0EA9"/>
    <w:rsid w:val="009B1361"/>
    <w:rsid w:val="009B4EA0"/>
    <w:rsid w:val="009B6CDE"/>
    <w:rsid w:val="009B74BA"/>
    <w:rsid w:val="009B766D"/>
    <w:rsid w:val="009C2118"/>
    <w:rsid w:val="009C54C4"/>
    <w:rsid w:val="009C5979"/>
    <w:rsid w:val="009C5B04"/>
    <w:rsid w:val="009C6F0B"/>
    <w:rsid w:val="009D06F7"/>
    <w:rsid w:val="009D1AFC"/>
    <w:rsid w:val="009D244F"/>
    <w:rsid w:val="009D2FAC"/>
    <w:rsid w:val="009D3CBA"/>
    <w:rsid w:val="009D4DC4"/>
    <w:rsid w:val="009D5071"/>
    <w:rsid w:val="009D6FA3"/>
    <w:rsid w:val="009D7D9E"/>
    <w:rsid w:val="009E0A63"/>
    <w:rsid w:val="009E2F27"/>
    <w:rsid w:val="009E3721"/>
    <w:rsid w:val="009E375D"/>
    <w:rsid w:val="009E4417"/>
    <w:rsid w:val="009E5E05"/>
    <w:rsid w:val="009E5E1A"/>
    <w:rsid w:val="009E7D77"/>
    <w:rsid w:val="009F0D10"/>
    <w:rsid w:val="009F26C7"/>
    <w:rsid w:val="009F2C8A"/>
    <w:rsid w:val="009F2D33"/>
    <w:rsid w:val="009F2DBC"/>
    <w:rsid w:val="009F3527"/>
    <w:rsid w:val="009F3CA0"/>
    <w:rsid w:val="009F4887"/>
    <w:rsid w:val="009F7554"/>
    <w:rsid w:val="00A01CAA"/>
    <w:rsid w:val="00A02EDB"/>
    <w:rsid w:val="00A03503"/>
    <w:rsid w:val="00A038FD"/>
    <w:rsid w:val="00A04947"/>
    <w:rsid w:val="00A05199"/>
    <w:rsid w:val="00A06772"/>
    <w:rsid w:val="00A1023F"/>
    <w:rsid w:val="00A11238"/>
    <w:rsid w:val="00A115FF"/>
    <w:rsid w:val="00A12AD8"/>
    <w:rsid w:val="00A12C07"/>
    <w:rsid w:val="00A12DF2"/>
    <w:rsid w:val="00A1582F"/>
    <w:rsid w:val="00A16431"/>
    <w:rsid w:val="00A164E5"/>
    <w:rsid w:val="00A21FE7"/>
    <w:rsid w:val="00A235C6"/>
    <w:rsid w:val="00A23DA5"/>
    <w:rsid w:val="00A25411"/>
    <w:rsid w:val="00A25816"/>
    <w:rsid w:val="00A263DF"/>
    <w:rsid w:val="00A272A8"/>
    <w:rsid w:val="00A3173B"/>
    <w:rsid w:val="00A37477"/>
    <w:rsid w:val="00A37A5C"/>
    <w:rsid w:val="00A37BCA"/>
    <w:rsid w:val="00A40625"/>
    <w:rsid w:val="00A407CA"/>
    <w:rsid w:val="00A40B22"/>
    <w:rsid w:val="00A40BCF"/>
    <w:rsid w:val="00A41536"/>
    <w:rsid w:val="00A41E95"/>
    <w:rsid w:val="00A424B2"/>
    <w:rsid w:val="00A4452D"/>
    <w:rsid w:val="00A46C79"/>
    <w:rsid w:val="00A46D83"/>
    <w:rsid w:val="00A50CBD"/>
    <w:rsid w:val="00A51A6E"/>
    <w:rsid w:val="00A52A39"/>
    <w:rsid w:val="00A52F85"/>
    <w:rsid w:val="00A53571"/>
    <w:rsid w:val="00A54D32"/>
    <w:rsid w:val="00A56536"/>
    <w:rsid w:val="00A569DC"/>
    <w:rsid w:val="00A56FEA"/>
    <w:rsid w:val="00A577ED"/>
    <w:rsid w:val="00A579BB"/>
    <w:rsid w:val="00A61ADA"/>
    <w:rsid w:val="00A62DC8"/>
    <w:rsid w:val="00A6304B"/>
    <w:rsid w:val="00A64E97"/>
    <w:rsid w:val="00A6581D"/>
    <w:rsid w:val="00A6610A"/>
    <w:rsid w:val="00A6692F"/>
    <w:rsid w:val="00A67A47"/>
    <w:rsid w:val="00A7259D"/>
    <w:rsid w:val="00A72BD9"/>
    <w:rsid w:val="00A7389D"/>
    <w:rsid w:val="00A743F8"/>
    <w:rsid w:val="00A75969"/>
    <w:rsid w:val="00A7626D"/>
    <w:rsid w:val="00A77A22"/>
    <w:rsid w:val="00A80509"/>
    <w:rsid w:val="00A807AD"/>
    <w:rsid w:val="00A814FF"/>
    <w:rsid w:val="00A8393B"/>
    <w:rsid w:val="00A8462C"/>
    <w:rsid w:val="00A86EE8"/>
    <w:rsid w:val="00A91A87"/>
    <w:rsid w:val="00A91D39"/>
    <w:rsid w:val="00A95EF8"/>
    <w:rsid w:val="00A96627"/>
    <w:rsid w:val="00A96FA9"/>
    <w:rsid w:val="00A978DF"/>
    <w:rsid w:val="00A97BAD"/>
    <w:rsid w:val="00AA05E9"/>
    <w:rsid w:val="00AA2390"/>
    <w:rsid w:val="00AA2DBE"/>
    <w:rsid w:val="00AA46A3"/>
    <w:rsid w:val="00AA483F"/>
    <w:rsid w:val="00AB099F"/>
    <w:rsid w:val="00AB0B3A"/>
    <w:rsid w:val="00AB0B53"/>
    <w:rsid w:val="00AB256D"/>
    <w:rsid w:val="00AB3250"/>
    <w:rsid w:val="00AB3BDF"/>
    <w:rsid w:val="00AB4084"/>
    <w:rsid w:val="00AB522F"/>
    <w:rsid w:val="00AB55B7"/>
    <w:rsid w:val="00AB6177"/>
    <w:rsid w:val="00AC1780"/>
    <w:rsid w:val="00AC1FEE"/>
    <w:rsid w:val="00AC4123"/>
    <w:rsid w:val="00AC4DE6"/>
    <w:rsid w:val="00AC4FD4"/>
    <w:rsid w:val="00AC63D3"/>
    <w:rsid w:val="00AD0076"/>
    <w:rsid w:val="00AD0DC1"/>
    <w:rsid w:val="00AD156F"/>
    <w:rsid w:val="00AD29E9"/>
    <w:rsid w:val="00AD3424"/>
    <w:rsid w:val="00AD364D"/>
    <w:rsid w:val="00AD3EA4"/>
    <w:rsid w:val="00AD3FBB"/>
    <w:rsid w:val="00AD7071"/>
    <w:rsid w:val="00AD72FB"/>
    <w:rsid w:val="00AE0FED"/>
    <w:rsid w:val="00AE1C93"/>
    <w:rsid w:val="00AE3DFF"/>
    <w:rsid w:val="00AE6FDF"/>
    <w:rsid w:val="00AF2053"/>
    <w:rsid w:val="00AF2C73"/>
    <w:rsid w:val="00AF4254"/>
    <w:rsid w:val="00AF4A45"/>
    <w:rsid w:val="00AF5B58"/>
    <w:rsid w:val="00AF647A"/>
    <w:rsid w:val="00B00B3C"/>
    <w:rsid w:val="00B01F3E"/>
    <w:rsid w:val="00B028F1"/>
    <w:rsid w:val="00B03475"/>
    <w:rsid w:val="00B03B91"/>
    <w:rsid w:val="00B03E00"/>
    <w:rsid w:val="00B042AC"/>
    <w:rsid w:val="00B04B70"/>
    <w:rsid w:val="00B07E88"/>
    <w:rsid w:val="00B07EF0"/>
    <w:rsid w:val="00B110FC"/>
    <w:rsid w:val="00B12713"/>
    <w:rsid w:val="00B210D6"/>
    <w:rsid w:val="00B21877"/>
    <w:rsid w:val="00B221E3"/>
    <w:rsid w:val="00B227A2"/>
    <w:rsid w:val="00B2474A"/>
    <w:rsid w:val="00B24BDE"/>
    <w:rsid w:val="00B27843"/>
    <w:rsid w:val="00B30074"/>
    <w:rsid w:val="00B309AB"/>
    <w:rsid w:val="00B320B5"/>
    <w:rsid w:val="00B378D0"/>
    <w:rsid w:val="00B42800"/>
    <w:rsid w:val="00B43360"/>
    <w:rsid w:val="00B43E46"/>
    <w:rsid w:val="00B442AD"/>
    <w:rsid w:val="00B44BF9"/>
    <w:rsid w:val="00B45948"/>
    <w:rsid w:val="00B4599B"/>
    <w:rsid w:val="00B45D5E"/>
    <w:rsid w:val="00B50C81"/>
    <w:rsid w:val="00B51079"/>
    <w:rsid w:val="00B51611"/>
    <w:rsid w:val="00B51EB7"/>
    <w:rsid w:val="00B52527"/>
    <w:rsid w:val="00B533EF"/>
    <w:rsid w:val="00B5375B"/>
    <w:rsid w:val="00B54014"/>
    <w:rsid w:val="00B560DC"/>
    <w:rsid w:val="00B602C8"/>
    <w:rsid w:val="00B606E6"/>
    <w:rsid w:val="00B60824"/>
    <w:rsid w:val="00B61243"/>
    <w:rsid w:val="00B61634"/>
    <w:rsid w:val="00B62CBF"/>
    <w:rsid w:val="00B63134"/>
    <w:rsid w:val="00B63E80"/>
    <w:rsid w:val="00B64F1C"/>
    <w:rsid w:val="00B65F2F"/>
    <w:rsid w:val="00B728FF"/>
    <w:rsid w:val="00B73D24"/>
    <w:rsid w:val="00B73DBD"/>
    <w:rsid w:val="00B758EB"/>
    <w:rsid w:val="00B77923"/>
    <w:rsid w:val="00B77B46"/>
    <w:rsid w:val="00B8126E"/>
    <w:rsid w:val="00B813B9"/>
    <w:rsid w:val="00B82594"/>
    <w:rsid w:val="00B8468A"/>
    <w:rsid w:val="00B84A3F"/>
    <w:rsid w:val="00B84E13"/>
    <w:rsid w:val="00B850E6"/>
    <w:rsid w:val="00B860DC"/>
    <w:rsid w:val="00B8796B"/>
    <w:rsid w:val="00B87F9A"/>
    <w:rsid w:val="00B90815"/>
    <w:rsid w:val="00B92EC3"/>
    <w:rsid w:val="00B95015"/>
    <w:rsid w:val="00B952D0"/>
    <w:rsid w:val="00B96EB1"/>
    <w:rsid w:val="00BA060C"/>
    <w:rsid w:val="00BA0FF7"/>
    <w:rsid w:val="00BA1488"/>
    <w:rsid w:val="00BA14F9"/>
    <w:rsid w:val="00BA1B51"/>
    <w:rsid w:val="00BA29E7"/>
    <w:rsid w:val="00BA30A7"/>
    <w:rsid w:val="00BA43A6"/>
    <w:rsid w:val="00BA4CE9"/>
    <w:rsid w:val="00BA6692"/>
    <w:rsid w:val="00BA6864"/>
    <w:rsid w:val="00BB1313"/>
    <w:rsid w:val="00BB4BF2"/>
    <w:rsid w:val="00BB663F"/>
    <w:rsid w:val="00BB6D75"/>
    <w:rsid w:val="00BB7A91"/>
    <w:rsid w:val="00BC0B51"/>
    <w:rsid w:val="00BC12F4"/>
    <w:rsid w:val="00BC3113"/>
    <w:rsid w:val="00BC3188"/>
    <w:rsid w:val="00BC3A8F"/>
    <w:rsid w:val="00BC4CEB"/>
    <w:rsid w:val="00BC584F"/>
    <w:rsid w:val="00BC64B2"/>
    <w:rsid w:val="00BD1107"/>
    <w:rsid w:val="00BD2938"/>
    <w:rsid w:val="00BD2D1B"/>
    <w:rsid w:val="00BD2D78"/>
    <w:rsid w:val="00BD2E3B"/>
    <w:rsid w:val="00BE2F0D"/>
    <w:rsid w:val="00BE34C4"/>
    <w:rsid w:val="00BE5BE7"/>
    <w:rsid w:val="00BE77A0"/>
    <w:rsid w:val="00BF04B5"/>
    <w:rsid w:val="00BF164C"/>
    <w:rsid w:val="00BF17EF"/>
    <w:rsid w:val="00BF19C3"/>
    <w:rsid w:val="00BF1E5E"/>
    <w:rsid w:val="00BF208B"/>
    <w:rsid w:val="00BF3875"/>
    <w:rsid w:val="00BF3F5C"/>
    <w:rsid w:val="00BF6B30"/>
    <w:rsid w:val="00C001BA"/>
    <w:rsid w:val="00C038C8"/>
    <w:rsid w:val="00C04B5A"/>
    <w:rsid w:val="00C04C53"/>
    <w:rsid w:val="00C10BC1"/>
    <w:rsid w:val="00C1364D"/>
    <w:rsid w:val="00C13A5E"/>
    <w:rsid w:val="00C15504"/>
    <w:rsid w:val="00C16298"/>
    <w:rsid w:val="00C17379"/>
    <w:rsid w:val="00C17BE5"/>
    <w:rsid w:val="00C206CB"/>
    <w:rsid w:val="00C20BB4"/>
    <w:rsid w:val="00C2103F"/>
    <w:rsid w:val="00C222EC"/>
    <w:rsid w:val="00C229EC"/>
    <w:rsid w:val="00C25B19"/>
    <w:rsid w:val="00C26FE9"/>
    <w:rsid w:val="00C320E9"/>
    <w:rsid w:val="00C32F31"/>
    <w:rsid w:val="00C401F0"/>
    <w:rsid w:val="00C407F9"/>
    <w:rsid w:val="00C41A32"/>
    <w:rsid w:val="00C41BDF"/>
    <w:rsid w:val="00C4391E"/>
    <w:rsid w:val="00C43E55"/>
    <w:rsid w:val="00C4426F"/>
    <w:rsid w:val="00C45BB3"/>
    <w:rsid w:val="00C45E39"/>
    <w:rsid w:val="00C46741"/>
    <w:rsid w:val="00C47E44"/>
    <w:rsid w:val="00C51500"/>
    <w:rsid w:val="00C526D1"/>
    <w:rsid w:val="00C53875"/>
    <w:rsid w:val="00C54885"/>
    <w:rsid w:val="00C54C2C"/>
    <w:rsid w:val="00C556E0"/>
    <w:rsid w:val="00C55BC6"/>
    <w:rsid w:val="00C57434"/>
    <w:rsid w:val="00C57695"/>
    <w:rsid w:val="00C62C4E"/>
    <w:rsid w:val="00C6347D"/>
    <w:rsid w:val="00C634C3"/>
    <w:rsid w:val="00C6422D"/>
    <w:rsid w:val="00C644CC"/>
    <w:rsid w:val="00C659E2"/>
    <w:rsid w:val="00C6647F"/>
    <w:rsid w:val="00C710D3"/>
    <w:rsid w:val="00C71692"/>
    <w:rsid w:val="00C7173A"/>
    <w:rsid w:val="00C72E22"/>
    <w:rsid w:val="00C72E84"/>
    <w:rsid w:val="00C73AB5"/>
    <w:rsid w:val="00C7429E"/>
    <w:rsid w:val="00C75E7E"/>
    <w:rsid w:val="00C80592"/>
    <w:rsid w:val="00C80D3E"/>
    <w:rsid w:val="00C8230C"/>
    <w:rsid w:val="00C826C1"/>
    <w:rsid w:val="00C84BA5"/>
    <w:rsid w:val="00C854EE"/>
    <w:rsid w:val="00C86486"/>
    <w:rsid w:val="00C86715"/>
    <w:rsid w:val="00C8746D"/>
    <w:rsid w:val="00C87D7C"/>
    <w:rsid w:val="00C9133D"/>
    <w:rsid w:val="00C913E2"/>
    <w:rsid w:val="00C935FD"/>
    <w:rsid w:val="00C94085"/>
    <w:rsid w:val="00C9560C"/>
    <w:rsid w:val="00C95E4D"/>
    <w:rsid w:val="00C9673A"/>
    <w:rsid w:val="00C96FB2"/>
    <w:rsid w:val="00C97847"/>
    <w:rsid w:val="00CA1CF2"/>
    <w:rsid w:val="00CA28AF"/>
    <w:rsid w:val="00CA3F61"/>
    <w:rsid w:val="00CA4F23"/>
    <w:rsid w:val="00CA5038"/>
    <w:rsid w:val="00CA5119"/>
    <w:rsid w:val="00CA5359"/>
    <w:rsid w:val="00CB02C3"/>
    <w:rsid w:val="00CB104E"/>
    <w:rsid w:val="00CB1160"/>
    <w:rsid w:val="00CB1569"/>
    <w:rsid w:val="00CB1A35"/>
    <w:rsid w:val="00CB2B0B"/>
    <w:rsid w:val="00CB39BB"/>
    <w:rsid w:val="00CB43E0"/>
    <w:rsid w:val="00CB45BA"/>
    <w:rsid w:val="00CB5D3F"/>
    <w:rsid w:val="00CC0E69"/>
    <w:rsid w:val="00CC216C"/>
    <w:rsid w:val="00CC2CDA"/>
    <w:rsid w:val="00CC43E0"/>
    <w:rsid w:val="00CC5F06"/>
    <w:rsid w:val="00CC6AF0"/>
    <w:rsid w:val="00CC6CC0"/>
    <w:rsid w:val="00CC7445"/>
    <w:rsid w:val="00CC7D00"/>
    <w:rsid w:val="00CD334C"/>
    <w:rsid w:val="00CD4634"/>
    <w:rsid w:val="00CD4AD6"/>
    <w:rsid w:val="00CD5B91"/>
    <w:rsid w:val="00CD7B8E"/>
    <w:rsid w:val="00CE03DF"/>
    <w:rsid w:val="00CE060C"/>
    <w:rsid w:val="00CE14B1"/>
    <w:rsid w:val="00CE1554"/>
    <w:rsid w:val="00CE26B4"/>
    <w:rsid w:val="00CE2AC3"/>
    <w:rsid w:val="00CE2DC0"/>
    <w:rsid w:val="00CE37C8"/>
    <w:rsid w:val="00CE407D"/>
    <w:rsid w:val="00CE4114"/>
    <w:rsid w:val="00CE5095"/>
    <w:rsid w:val="00CF0540"/>
    <w:rsid w:val="00CF1E8C"/>
    <w:rsid w:val="00CF3539"/>
    <w:rsid w:val="00CF4A28"/>
    <w:rsid w:val="00CF5133"/>
    <w:rsid w:val="00CF523B"/>
    <w:rsid w:val="00CF5A39"/>
    <w:rsid w:val="00CF66F6"/>
    <w:rsid w:val="00CF7559"/>
    <w:rsid w:val="00D01C2F"/>
    <w:rsid w:val="00D02A87"/>
    <w:rsid w:val="00D0331E"/>
    <w:rsid w:val="00D10472"/>
    <w:rsid w:val="00D10E1A"/>
    <w:rsid w:val="00D113B3"/>
    <w:rsid w:val="00D12073"/>
    <w:rsid w:val="00D13B31"/>
    <w:rsid w:val="00D15288"/>
    <w:rsid w:val="00D1528E"/>
    <w:rsid w:val="00D16EC1"/>
    <w:rsid w:val="00D205B5"/>
    <w:rsid w:val="00D20A89"/>
    <w:rsid w:val="00D20DFF"/>
    <w:rsid w:val="00D21595"/>
    <w:rsid w:val="00D21C28"/>
    <w:rsid w:val="00D24442"/>
    <w:rsid w:val="00D257EB"/>
    <w:rsid w:val="00D30D47"/>
    <w:rsid w:val="00D30EBD"/>
    <w:rsid w:val="00D321D7"/>
    <w:rsid w:val="00D3256A"/>
    <w:rsid w:val="00D327ED"/>
    <w:rsid w:val="00D328FF"/>
    <w:rsid w:val="00D32F43"/>
    <w:rsid w:val="00D3359C"/>
    <w:rsid w:val="00D339FC"/>
    <w:rsid w:val="00D33CEE"/>
    <w:rsid w:val="00D357B1"/>
    <w:rsid w:val="00D367B2"/>
    <w:rsid w:val="00D40CE9"/>
    <w:rsid w:val="00D4112A"/>
    <w:rsid w:val="00D41B55"/>
    <w:rsid w:val="00D41CAA"/>
    <w:rsid w:val="00D42C27"/>
    <w:rsid w:val="00D42EC0"/>
    <w:rsid w:val="00D4352A"/>
    <w:rsid w:val="00D4388D"/>
    <w:rsid w:val="00D442F3"/>
    <w:rsid w:val="00D44E7A"/>
    <w:rsid w:val="00D45B10"/>
    <w:rsid w:val="00D505D1"/>
    <w:rsid w:val="00D5070D"/>
    <w:rsid w:val="00D50AD0"/>
    <w:rsid w:val="00D513A1"/>
    <w:rsid w:val="00D526B3"/>
    <w:rsid w:val="00D5372B"/>
    <w:rsid w:val="00D54057"/>
    <w:rsid w:val="00D54453"/>
    <w:rsid w:val="00D55353"/>
    <w:rsid w:val="00D56B60"/>
    <w:rsid w:val="00D57C01"/>
    <w:rsid w:val="00D603C2"/>
    <w:rsid w:val="00D6053D"/>
    <w:rsid w:val="00D62485"/>
    <w:rsid w:val="00D649A3"/>
    <w:rsid w:val="00D64ACF"/>
    <w:rsid w:val="00D6545B"/>
    <w:rsid w:val="00D6558D"/>
    <w:rsid w:val="00D7173D"/>
    <w:rsid w:val="00D717D7"/>
    <w:rsid w:val="00D71CA9"/>
    <w:rsid w:val="00D725B5"/>
    <w:rsid w:val="00D73D7D"/>
    <w:rsid w:val="00D74DC1"/>
    <w:rsid w:val="00D75AFB"/>
    <w:rsid w:val="00D76DB4"/>
    <w:rsid w:val="00D77C2E"/>
    <w:rsid w:val="00D80450"/>
    <w:rsid w:val="00D81BB0"/>
    <w:rsid w:val="00D8215B"/>
    <w:rsid w:val="00D83993"/>
    <w:rsid w:val="00D87309"/>
    <w:rsid w:val="00D9060A"/>
    <w:rsid w:val="00D90C78"/>
    <w:rsid w:val="00D912C0"/>
    <w:rsid w:val="00D92624"/>
    <w:rsid w:val="00D92ECB"/>
    <w:rsid w:val="00D933AF"/>
    <w:rsid w:val="00D94780"/>
    <w:rsid w:val="00D976FC"/>
    <w:rsid w:val="00D97A7A"/>
    <w:rsid w:val="00DA0C07"/>
    <w:rsid w:val="00DA2694"/>
    <w:rsid w:val="00DA28BC"/>
    <w:rsid w:val="00DA2EE7"/>
    <w:rsid w:val="00DA5030"/>
    <w:rsid w:val="00DB38EB"/>
    <w:rsid w:val="00DB58F4"/>
    <w:rsid w:val="00DB653C"/>
    <w:rsid w:val="00DB6A77"/>
    <w:rsid w:val="00DC0198"/>
    <w:rsid w:val="00DC0552"/>
    <w:rsid w:val="00DC66F2"/>
    <w:rsid w:val="00DD0687"/>
    <w:rsid w:val="00DD0ABF"/>
    <w:rsid w:val="00DD1E1D"/>
    <w:rsid w:val="00DD2E58"/>
    <w:rsid w:val="00DD395B"/>
    <w:rsid w:val="00DD469B"/>
    <w:rsid w:val="00DD668B"/>
    <w:rsid w:val="00DE16B5"/>
    <w:rsid w:val="00DE1AB7"/>
    <w:rsid w:val="00DE208A"/>
    <w:rsid w:val="00DE28E0"/>
    <w:rsid w:val="00DE2C93"/>
    <w:rsid w:val="00DE3FBD"/>
    <w:rsid w:val="00DE5572"/>
    <w:rsid w:val="00DE7980"/>
    <w:rsid w:val="00DF0041"/>
    <w:rsid w:val="00DF14F3"/>
    <w:rsid w:val="00DF25A7"/>
    <w:rsid w:val="00DF3D2E"/>
    <w:rsid w:val="00DF3F7B"/>
    <w:rsid w:val="00DF5A3A"/>
    <w:rsid w:val="00DF5E95"/>
    <w:rsid w:val="00DF5F07"/>
    <w:rsid w:val="00DF6D99"/>
    <w:rsid w:val="00DF7A08"/>
    <w:rsid w:val="00E00C64"/>
    <w:rsid w:val="00E01BCC"/>
    <w:rsid w:val="00E02554"/>
    <w:rsid w:val="00E03030"/>
    <w:rsid w:val="00E03BCC"/>
    <w:rsid w:val="00E03E01"/>
    <w:rsid w:val="00E0426A"/>
    <w:rsid w:val="00E0614D"/>
    <w:rsid w:val="00E073A2"/>
    <w:rsid w:val="00E11470"/>
    <w:rsid w:val="00E13499"/>
    <w:rsid w:val="00E144A8"/>
    <w:rsid w:val="00E16880"/>
    <w:rsid w:val="00E20B22"/>
    <w:rsid w:val="00E237F5"/>
    <w:rsid w:val="00E23EB8"/>
    <w:rsid w:val="00E241E9"/>
    <w:rsid w:val="00E242DC"/>
    <w:rsid w:val="00E260B8"/>
    <w:rsid w:val="00E26C30"/>
    <w:rsid w:val="00E301FA"/>
    <w:rsid w:val="00E30CB3"/>
    <w:rsid w:val="00E31F57"/>
    <w:rsid w:val="00E33208"/>
    <w:rsid w:val="00E33531"/>
    <w:rsid w:val="00E337C7"/>
    <w:rsid w:val="00E3405A"/>
    <w:rsid w:val="00E356D3"/>
    <w:rsid w:val="00E357A6"/>
    <w:rsid w:val="00E35F3F"/>
    <w:rsid w:val="00E35F46"/>
    <w:rsid w:val="00E371A9"/>
    <w:rsid w:val="00E373F2"/>
    <w:rsid w:val="00E37567"/>
    <w:rsid w:val="00E4138C"/>
    <w:rsid w:val="00E41CD1"/>
    <w:rsid w:val="00E44296"/>
    <w:rsid w:val="00E45022"/>
    <w:rsid w:val="00E45117"/>
    <w:rsid w:val="00E470E9"/>
    <w:rsid w:val="00E517C1"/>
    <w:rsid w:val="00E51BA5"/>
    <w:rsid w:val="00E5210F"/>
    <w:rsid w:val="00E5240D"/>
    <w:rsid w:val="00E54547"/>
    <w:rsid w:val="00E57A92"/>
    <w:rsid w:val="00E61D8B"/>
    <w:rsid w:val="00E64822"/>
    <w:rsid w:val="00E64992"/>
    <w:rsid w:val="00E6620A"/>
    <w:rsid w:val="00E67506"/>
    <w:rsid w:val="00E7098F"/>
    <w:rsid w:val="00E71A96"/>
    <w:rsid w:val="00E72771"/>
    <w:rsid w:val="00E72B37"/>
    <w:rsid w:val="00E737F5"/>
    <w:rsid w:val="00E759A0"/>
    <w:rsid w:val="00E759FD"/>
    <w:rsid w:val="00E76591"/>
    <w:rsid w:val="00E803BE"/>
    <w:rsid w:val="00E80AB1"/>
    <w:rsid w:val="00E81624"/>
    <w:rsid w:val="00E81705"/>
    <w:rsid w:val="00E82465"/>
    <w:rsid w:val="00E825BF"/>
    <w:rsid w:val="00E8298B"/>
    <w:rsid w:val="00E86023"/>
    <w:rsid w:val="00E869B2"/>
    <w:rsid w:val="00E86A05"/>
    <w:rsid w:val="00E90C32"/>
    <w:rsid w:val="00E94F35"/>
    <w:rsid w:val="00E964DF"/>
    <w:rsid w:val="00E966D2"/>
    <w:rsid w:val="00E97A1C"/>
    <w:rsid w:val="00EA1F96"/>
    <w:rsid w:val="00EA4C9A"/>
    <w:rsid w:val="00EA5147"/>
    <w:rsid w:val="00EA52EB"/>
    <w:rsid w:val="00EA6551"/>
    <w:rsid w:val="00EA7ED0"/>
    <w:rsid w:val="00EB277A"/>
    <w:rsid w:val="00EB3F32"/>
    <w:rsid w:val="00EB434F"/>
    <w:rsid w:val="00EB44BD"/>
    <w:rsid w:val="00EB4D12"/>
    <w:rsid w:val="00EB5AA0"/>
    <w:rsid w:val="00EB75F7"/>
    <w:rsid w:val="00EB7BB9"/>
    <w:rsid w:val="00EC363B"/>
    <w:rsid w:val="00EC4423"/>
    <w:rsid w:val="00EC64A5"/>
    <w:rsid w:val="00EC6666"/>
    <w:rsid w:val="00ED08F9"/>
    <w:rsid w:val="00ED13A8"/>
    <w:rsid w:val="00ED1C47"/>
    <w:rsid w:val="00ED2E7C"/>
    <w:rsid w:val="00ED57E9"/>
    <w:rsid w:val="00ED5F1A"/>
    <w:rsid w:val="00EE3236"/>
    <w:rsid w:val="00EE4013"/>
    <w:rsid w:val="00EE5B3F"/>
    <w:rsid w:val="00EE61EC"/>
    <w:rsid w:val="00EE74AA"/>
    <w:rsid w:val="00EE791C"/>
    <w:rsid w:val="00EE7CF0"/>
    <w:rsid w:val="00EF21AD"/>
    <w:rsid w:val="00EF2353"/>
    <w:rsid w:val="00EF2F82"/>
    <w:rsid w:val="00EF317F"/>
    <w:rsid w:val="00EF3446"/>
    <w:rsid w:val="00EF5E2A"/>
    <w:rsid w:val="00EF77B8"/>
    <w:rsid w:val="00F02FAD"/>
    <w:rsid w:val="00F03407"/>
    <w:rsid w:val="00F0349C"/>
    <w:rsid w:val="00F03A99"/>
    <w:rsid w:val="00F05710"/>
    <w:rsid w:val="00F06E90"/>
    <w:rsid w:val="00F07050"/>
    <w:rsid w:val="00F10509"/>
    <w:rsid w:val="00F12396"/>
    <w:rsid w:val="00F13643"/>
    <w:rsid w:val="00F15A68"/>
    <w:rsid w:val="00F16367"/>
    <w:rsid w:val="00F16D65"/>
    <w:rsid w:val="00F17533"/>
    <w:rsid w:val="00F177F7"/>
    <w:rsid w:val="00F20EAE"/>
    <w:rsid w:val="00F2461E"/>
    <w:rsid w:val="00F24C14"/>
    <w:rsid w:val="00F24ED0"/>
    <w:rsid w:val="00F251BC"/>
    <w:rsid w:val="00F25F22"/>
    <w:rsid w:val="00F2708F"/>
    <w:rsid w:val="00F2792C"/>
    <w:rsid w:val="00F3036D"/>
    <w:rsid w:val="00F33872"/>
    <w:rsid w:val="00F339F6"/>
    <w:rsid w:val="00F40705"/>
    <w:rsid w:val="00F415BF"/>
    <w:rsid w:val="00F42032"/>
    <w:rsid w:val="00F43558"/>
    <w:rsid w:val="00F43D7B"/>
    <w:rsid w:val="00F43FD3"/>
    <w:rsid w:val="00F4507E"/>
    <w:rsid w:val="00F46B8D"/>
    <w:rsid w:val="00F504AB"/>
    <w:rsid w:val="00F50753"/>
    <w:rsid w:val="00F516AE"/>
    <w:rsid w:val="00F51A21"/>
    <w:rsid w:val="00F52A32"/>
    <w:rsid w:val="00F53FC3"/>
    <w:rsid w:val="00F54BA1"/>
    <w:rsid w:val="00F55B66"/>
    <w:rsid w:val="00F55DC4"/>
    <w:rsid w:val="00F56DB0"/>
    <w:rsid w:val="00F57001"/>
    <w:rsid w:val="00F601AC"/>
    <w:rsid w:val="00F60371"/>
    <w:rsid w:val="00F6070A"/>
    <w:rsid w:val="00F652BC"/>
    <w:rsid w:val="00F666BE"/>
    <w:rsid w:val="00F70264"/>
    <w:rsid w:val="00F70E4A"/>
    <w:rsid w:val="00F71C2C"/>
    <w:rsid w:val="00F72C12"/>
    <w:rsid w:val="00F75CAF"/>
    <w:rsid w:val="00F76F16"/>
    <w:rsid w:val="00F80C07"/>
    <w:rsid w:val="00F81A2E"/>
    <w:rsid w:val="00F81E4E"/>
    <w:rsid w:val="00F81E61"/>
    <w:rsid w:val="00F83F33"/>
    <w:rsid w:val="00F84092"/>
    <w:rsid w:val="00F85117"/>
    <w:rsid w:val="00F855BB"/>
    <w:rsid w:val="00F863F5"/>
    <w:rsid w:val="00F90AE6"/>
    <w:rsid w:val="00F91C23"/>
    <w:rsid w:val="00F9367B"/>
    <w:rsid w:val="00F943E4"/>
    <w:rsid w:val="00F95251"/>
    <w:rsid w:val="00F957CB"/>
    <w:rsid w:val="00F960B7"/>
    <w:rsid w:val="00F978E2"/>
    <w:rsid w:val="00F97A0A"/>
    <w:rsid w:val="00F97E7C"/>
    <w:rsid w:val="00FA1090"/>
    <w:rsid w:val="00FA10B3"/>
    <w:rsid w:val="00FA1840"/>
    <w:rsid w:val="00FA2074"/>
    <w:rsid w:val="00FA5EF4"/>
    <w:rsid w:val="00FB3756"/>
    <w:rsid w:val="00FB37F5"/>
    <w:rsid w:val="00FB3D90"/>
    <w:rsid w:val="00FB5A7F"/>
    <w:rsid w:val="00FB5D34"/>
    <w:rsid w:val="00FB605D"/>
    <w:rsid w:val="00FB7A2E"/>
    <w:rsid w:val="00FC1D7C"/>
    <w:rsid w:val="00FC396D"/>
    <w:rsid w:val="00FC5ADD"/>
    <w:rsid w:val="00FC5DA4"/>
    <w:rsid w:val="00FC6380"/>
    <w:rsid w:val="00FD249F"/>
    <w:rsid w:val="00FD3414"/>
    <w:rsid w:val="00FD449A"/>
    <w:rsid w:val="00FD578D"/>
    <w:rsid w:val="00FD5AFE"/>
    <w:rsid w:val="00FD7556"/>
    <w:rsid w:val="00FE0B46"/>
    <w:rsid w:val="00FE231C"/>
    <w:rsid w:val="00FE24C0"/>
    <w:rsid w:val="00FE51C2"/>
    <w:rsid w:val="00FE66CF"/>
    <w:rsid w:val="00FE6A8C"/>
    <w:rsid w:val="00FE72BC"/>
    <w:rsid w:val="00FE7751"/>
    <w:rsid w:val="00FE7B7E"/>
    <w:rsid w:val="00FF00DF"/>
    <w:rsid w:val="00FF01D2"/>
    <w:rsid w:val="00FF035A"/>
    <w:rsid w:val="00FF0AE7"/>
    <w:rsid w:val="00FF0BA0"/>
    <w:rsid w:val="00FF1767"/>
    <w:rsid w:val="00FF1F71"/>
    <w:rsid w:val="00FF23BA"/>
    <w:rsid w:val="00FF2E14"/>
    <w:rsid w:val="00FF3DA9"/>
    <w:rsid w:val="00FF4D30"/>
    <w:rsid w:val="00FF4D79"/>
    <w:rsid w:val="00FF5144"/>
    <w:rsid w:val="00FF543D"/>
    <w:rsid w:val="00FF6B4A"/>
    <w:rsid w:val="00FF6B9C"/>
    <w:rsid w:val="00FF74F4"/>
    <w:rsid w:val="00FF7FA0"/>
    <w:rsid w:val="010F5137"/>
    <w:rsid w:val="015E0166"/>
    <w:rsid w:val="01952556"/>
    <w:rsid w:val="01B7F584"/>
    <w:rsid w:val="01E62EE6"/>
    <w:rsid w:val="0218C919"/>
    <w:rsid w:val="024BDD22"/>
    <w:rsid w:val="02961690"/>
    <w:rsid w:val="02E10F0C"/>
    <w:rsid w:val="03941BB0"/>
    <w:rsid w:val="03A490A9"/>
    <w:rsid w:val="0412A9EA"/>
    <w:rsid w:val="041F0044"/>
    <w:rsid w:val="045C375F"/>
    <w:rsid w:val="047CDF6D"/>
    <w:rsid w:val="04A56B0D"/>
    <w:rsid w:val="04E52C20"/>
    <w:rsid w:val="051BAC7E"/>
    <w:rsid w:val="053E1538"/>
    <w:rsid w:val="05432333"/>
    <w:rsid w:val="05A68B3C"/>
    <w:rsid w:val="065C52EB"/>
    <w:rsid w:val="069801AF"/>
    <w:rsid w:val="069ABE15"/>
    <w:rsid w:val="06DEF394"/>
    <w:rsid w:val="07049B66"/>
    <w:rsid w:val="07180F9C"/>
    <w:rsid w:val="071DF91D"/>
    <w:rsid w:val="07627276"/>
    <w:rsid w:val="07869BE9"/>
    <w:rsid w:val="079AB9CA"/>
    <w:rsid w:val="07F06646"/>
    <w:rsid w:val="0828E7AA"/>
    <w:rsid w:val="083A4AC0"/>
    <w:rsid w:val="08D5CE17"/>
    <w:rsid w:val="08F6C192"/>
    <w:rsid w:val="09463FC3"/>
    <w:rsid w:val="09505090"/>
    <w:rsid w:val="0967BEDF"/>
    <w:rsid w:val="09CEF561"/>
    <w:rsid w:val="0A26AB33"/>
    <w:rsid w:val="0A9694DF"/>
    <w:rsid w:val="0AF30031"/>
    <w:rsid w:val="0B17B8A9"/>
    <w:rsid w:val="0B36FCB0"/>
    <w:rsid w:val="0B5C5B2A"/>
    <w:rsid w:val="0B6D2EC5"/>
    <w:rsid w:val="0C09D960"/>
    <w:rsid w:val="0C87F152"/>
    <w:rsid w:val="0CA47E46"/>
    <w:rsid w:val="0CA72259"/>
    <w:rsid w:val="0CC895BA"/>
    <w:rsid w:val="0CE1BE17"/>
    <w:rsid w:val="0CF03E05"/>
    <w:rsid w:val="0D23CA06"/>
    <w:rsid w:val="0D3651E9"/>
    <w:rsid w:val="0D4E3518"/>
    <w:rsid w:val="0E0210E4"/>
    <w:rsid w:val="0E35F76F"/>
    <w:rsid w:val="0E3CEA10"/>
    <w:rsid w:val="0E43B59A"/>
    <w:rsid w:val="0E574BDB"/>
    <w:rsid w:val="0E64661B"/>
    <w:rsid w:val="0E9DE018"/>
    <w:rsid w:val="0EE1A543"/>
    <w:rsid w:val="0F155997"/>
    <w:rsid w:val="0F4665F5"/>
    <w:rsid w:val="0F5C00DD"/>
    <w:rsid w:val="0F5EDC48"/>
    <w:rsid w:val="0FBF9214"/>
    <w:rsid w:val="0FCFB426"/>
    <w:rsid w:val="10563F0B"/>
    <w:rsid w:val="1063A8CB"/>
    <w:rsid w:val="10CD7C28"/>
    <w:rsid w:val="115B6275"/>
    <w:rsid w:val="115C5931"/>
    <w:rsid w:val="116B8487"/>
    <w:rsid w:val="11818653"/>
    <w:rsid w:val="118BA6DE"/>
    <w:rsid w:val="119C06DD"/>
    <w:rsid w:val="11C1B47F"/>
    <w:rsid w:val="129BE125"/>
    <w:rsid w:val="12AA3936"/>
    <w:rsid w:val="12B187C9"/>
    <w:rsid w:val="12E1C318"/>
    <w:rsid w:val="12F732D6"/>
    <w:rsid w:val="130754E8"/>
    <w:rsid w:val="13679E1A"/>
    <w:rsid w:val="1381F595"/>
    <w:rsid w:val="13B4ED1E"/>
    <w:rsid w:val="14375428"/>
    <w:rsid w:val="14719797"/>
    <w:rsid w:val="1496F99B"/>
    <w:rsid w:val="157EE4D4"/>
    <w:rsid w:val="15F9F184"/>
    <w:rsid w:val="16E618ED"/>
    <w:rsid w:val="16ED89C5"/>
    <w:rsid w:val="1710DA67"/>
    <w:rsid w:val="1784F8EC"/>
    <w:rsid w:val="17DDC2E5"/>
    <w:rsid w:val="17E470D8"/>
    <w:rsid w:val="17E7D559"/>
    <w:rsid w:val="181335E7"/>
    <w:rsid w:val="1825E418"/>
    <w:rsid w:val="18459E4E"/>
    <w:rsid w:val="1879FA9C"/>
    <w:rsid w:val="1890E7BF"/>
    <w:rsid w:val="18A882EC"/>
    <w:rsid w:val="18BC3BDD"/>
    <w:rsid w:val="19175DC7"/>
    <w:rsid w:val="19407533"/>
    <w:rsid w:val="194EFC80"/>
    <w:rsid w:val="19736FDB"/>
    <w:rsid w:val="19750203"/>
    <w:rsid w:val="19840A61"/>
    <w:rsid w:val="19A3BF62"/>
    <w:rsid w:val="1AC9CB67"/>
    <w:rsid w:val="1B609A32"/>
    <w:rsid w:val="1BF3DC9F"/>
    <w:rsid w:val="1C1401CB"/>
    <w:rsid w:val="1C800C4C"/>
    <w:rsid w:val="1CC0AA89"/>
    <w:rsid w:val="1CFA1D2D"/>
    <w:rsid w:val="1D0FAF7E"/>
    <w:rsid w:val="1D3A60D8"/>
    <w:rsid w:val="1DA15A6D"/>
    <w:rsid w:val="1E03564C"/>
    <w:rsid w:val="1E3C314F"/>
    <w:rsid w:val="1E8592C7"/>
    <w:rsid w:val="1F0816C9"/>
    <w:rsid w:val="1F4501A8"/>
    <w:rsid w:val="1FA2982D"/>
    <w:rsid w:val="1FC55244"/>
    <w:rsid w:val="2016C3AA"/>
    <w:rsid w:val="20556F7C"/>
    <w:rsid w:val="20980575"/>
    <w:rsid w:val="210484BC"/>
    <w:rsid w:val="212E7418"/>
    <w:rsid w:val="2160BAA7"/>
    <w:rsid w:val="21A1E858"/>
    <w:rsid w:val="21B5FC84"/>
    <w:rsid w:val="21C6DD38"/>
    <w:rsid w:val="220A01B4"/>
    <w:rsid w:val="224F856C"/>
    <w:rsid w:val="225AE5D1"/>
    <w:rsid w:val="22761AE8"/>
    <w:rsid w:val="227BD94C"/>
    <w:rsid w:val="227E7452"/>
    <w:rsid w:val="2315A03D"/>
    <w:rsid w:val="23B74A33"/>
    <w:rsid w:val="23C90CE0"/>
    <w:rsid w:val="23F6BDFC"/>
    <w:rsid w:val="2437E3BF"/>
    <w:rsid w:val="244A3E49"/>
    <w:rsid w:val="24CCF603"/>
    <w:rsid w:val="24D5981E"/>
    <w:rsid w:val="250FB842"/>
    <w:rsid w:val="252B32EC"/>
    <w:rsid w:val="256919B3"/>
    <w:rsid w:val="25975180"/>
    <w:rsid w:val="25AAA5EA"/>
    <w:rsid w:val="2602E1D2"/>
    <w:rsid w:val="266003D4"/>
    <w:rsid w:val="26A0712B"/>
    <w:rsid w:val="26D752F5"/>
    <w:rsid w:val="271B52E7"/>
    <w:rsid w:val="271F91F8"/>
    <w:rsid w:val="272E5EBE"/>
    <w:rsid w:val="2753EC92"/>
    <w:rsid w:val="275986DA"/>
    <w:rsid w:val="27D66C2C"/>
    <w:rsid w:val="282959B1"/>
    <w:rsid w:val="282FCE9C"/>
    <w:rsid w:val="2836D80E"/>
    <w:rsid w:val="28709818"/>
    <w:rsid w:val="28A5E78F"/>
    <w:rsid w:val="28B09105"/>
    <w:rsid w:val="28BC6D10"/>
    <w:rsid w:val="28BEFD0A"/>
    <w:rsid w:val="28CE8145"/>
    <w:rsid w:val="28EC8DA8"/>
    <w:rsid w:val="2921236D"/>
    <w:rsid w:val="292D380F"/>
    <w:rsid w:val="29439B69"/>
    <w:rsid w:val="29462518"/>
    <w:rsid w:val="298993A5"/>
    <w:rsid w:val="29AC6372"/>
    <w:rsid w:val="29F5932C"/>
    <w:rsid w:val="2A2CA28B"/>
    <w:rsid w:val="2A41724B"/>
    <w:rsid w:val="2A4862B7"/>
    <w:rsid w:val="2A4CD723"/>
    <w:rsid w:val="2A5F2040"/>
    <w:rsid w:val="2A6E8383"/>
    <w:rsid w:val="2A722403"/>
    <w:rsid w:val="2AD45466"/>
    <w:rsid w:val="2B89637A"/>
    <w:rsid w:val="2BE699D1"/>
    <w:rsid w:val="2BE7848D"/>
    <w:rsid w:val="2BF667B2"/>
    <w:rsid w:val="2C1AE315"/>
    <w:rsid w:val="2C237C41"/>
    <w:rsid w:val="2C295CD8"/>
    <w:rsid w:val="2C2B902A"/>
    <w:rsid w:val="2C3B9509"/>
    <w:rsid w:val="2C3D66F9"/>
    <w:rsid w:val="2C633D54"/>
    <w:rsid w:val="2C910252"/>
    <w:rsid w:val="2CD186B3"/>
    <w:rsid w:val="2CFC03F8"/>
    <w:rsid w:val="2D1ACA27"/>
    <w:rsid w:val="2D4C77D6"/>
    <w:rsid w:val="2D8477E5"/>
    <w:rsid w:val="2D923813"/>
    <w:rsid w:val="2D96C102"/>
    <w:rsid w:val="2DDD0352"/>
    <w:rsid w:val="2E1FAE55"/>
    <w:rsid w:val="2E34E479"/>
    <w:rsid w:val="2E47EB34"/>
    <w:rsid w:val="2E56A2FB"/>
    <w:rsid w:val="2E5D04C8"/>
    <w:rsid w:val="2ED70FBC"/>
    <w:rsid w:val="2F2E0874"/>
    <w:rsid w:val="2F41F4A6"/>
    <w:rsid w:val="2F787655"/>
    <w:rsid w:val="2F94EC55"/>
    <w:rsid w:val="2FCB0860"/>
    <w:rsid w:val="2FD0433A"/>
    <w:rsid w:val="3006E61A"/>
    <w:rsid w:val="301D86DB"/>
    <w:rsid w:val="30BC18A7"/>
    <w:rsid w:val="3100DDB3"/>
    <w:rsid w:val="318D6419"/>
    <w:rsid w:val="31A2B67B"/>
    <w:rsid w:val="31EE3B4A"/>
    <w:rsid w:val="31F0FA3F"/>
    <w:rsid w:val="321997AB"/>
    <w:rsid w:val="32425BEC"/>
    <w:rsid w:val="325FA22C"/>
    <w:rsid w:val="3265F232"/>
    <w:rsid w:val="328584E1"/>
    <w:rsid w:val="32AA56EB"/>
    <w:rsid w:val="3320FAF4"/>
    <w:rsid w:val="337F1F30"/>
    <w:rsid w:val="33BF6794"/>
    <w:rsid w:val="340B1081"/>
    <w:rsid w:val="340C9B3F"/>
    <w:rsid w:val="341565C9"/>
    <w:rsid w:val="3460AF6D"/>
    <w:rsid w:val="34D0CE40"/>
    <w:rsid w:val="34E32987"/>
    <w:rsid w:val="34E4E18F"/>
    <w:rsid w:val="34F53C8A"/>
    <w:rsid w:val="358F89CA"/>
    <w:rsid w:val="35B1362A"/>
    <w:rsid w:val="35C1860E"/>
    <w:rsid w:val="36B33A87"/>
    <w:rsid w:val="36D440C9"/>
    <w:rsid w:val="36DBC10F"/>
    <w:rsid w:val="372B5A2B"/>
    <w:rsid w:val="376D4625"/>
    <w:rsid w:val="376DB972"/>
    <w:rsid w:val="377E47B0"/>
    <w:rsid w:val="37A29773"/>
    <w:rsid w:val="37AE93B3"/>
    <w:rsid w:val="37E5A093"/>
    <w:rsid w:val="37FE9434"/>
    <w:rsid w:val="382F3B2C"/>
    <w:rsid w:val="387F3032"/>
    <w:rsid w:val="3887093C"/>
    <w:rsid w:val="3893C060"/>
    <w:rsid w:val="38CC1007"/>
    <w:rsid w:val="38D8DF01"/>
    <w:rsid w:val="38FDD11F"/>
    <w:rsid w:val="3908E4D8"/>
    <w:rsid w:val="3941C05C"/>
    <w:rsid w:val="39432085"/>
    <w:rsid w:val="399A6495"/>
    <w:rsid w:val="39F5C2B1"/>
    <w:rsid w:val="3A11D281"/>
    <w:rsid w:val="3A62FAED"/>
    <w:rsid w:val="3A8833D8"/>
    <w:rsid w:val="3A8FB7E2"/>
    <w:rsid w:val="3BFECB4E"/>
    <w:rsid w:val="3C21367D"/>
    <w:rsid w:val="3C4DDFD0"/>
    <w:rsid w:val="3C6AE130"/>
    <w:rsid w:val="3C927F16"/>
    <w:rsid w:val="3CD587A9"/>
    <w:rsid w:val="3CF594C5"/>
    <w:rsid w:val="3CF8E341"/>
    <w:rsid w:val="3CFBD99E"/>
    <w:rsid w:val="3D134FB7"/>
    <w:rsid w:val="3D475AE8"/>
    <w:rsid w:val="3D6DEC4D"/>
    <w:rsid w:val="3D81833E"/>
    <w:rsid w:val="3DC2FB7C"/>
    <w:rsid w:val="3DCB1B24"/>
    <w:rsid w:val="3E6DD5B8"/>
    <w:rsid w:val="3E9E7CB0"/>
    <w:rsid w:val="3EB96A7A"/>
    <w:rsid w:val="3F4742A0"/>
    <w:rsid w:val="3F4DC328"/>
    <w:rsid w:val="3F581271"/>
    <w:rsid w:val="3F581870"/>
    <w:rsid w:val="3F7129C0"/>
    <w:rsid w:val="3FA758E8"/>
    <w:rsid w:val="3FB23FFA"/>
    <w:rsid w:val="3FE9ED3B"/>
    <w:rsid w:val="3FF9ED74"/>
    <w:rsid w:val="4009A619"/>
    <w:rsid w:val="400EF8F3"/>
    <w:rsid w:val="403A4D11"/>
    <w:rsid w:val="40414A71"/>
    <w:rsid w:val="407BC025"/>
    <w:rsid w:val="40EF2A21"/>
    <w:rsid w:val="41218CEF"/>
    <w:rsid w:val="4139AF17"/>
    <w:rsid w:val="417EE33D"/>
    <w:rsid w:val="4185C80C"/>
    <w:rsid w:val="41A5767A"/>
    <w:rsid w:val="41AAC954"/>
    <w:rsid w:val="41C1AB4D"/>
    <w:rsid w:val="41D61D72"/>
    <w:rsid w:val="423240C7"/>
    <w:rsid w:val="426E0CD2"/>
    <w:rsid w:val="428055EF"/>
    <w:rsid w:val="429374DB"/>
    <w:rsid w:val="42DA8657"/>
    <w:rsid w:val="42EBDD5B"/>
    <w:rsid w:val="4317684B"/>
    <w:rsid w:val="432966B3"/>
    <w:rsid w:val="434699B5"/>
    <w:rsid w:val="4351220A"/>
    <w:rsid w:val="4387A50A"/>
    <w:rsid w:val="439B94ED"/>
    <w:rsid w:val="43A97F72"/>
    <w:rsid w:val="43D67B43"/>
    <w:rsid w:val="4421344B"/>
    <w:rsid w:val="442FA166"/>
    <w:rsid w:val="445CCAB8"/>
    <w:rsid w:val="4478D469"/>
    <w:rsid w:val="44933EAB"/>
    <w:rsid w:val="44A8803D"/>
    <w:rsid w:val="44F280F3"/>
    <w:rsid w:val="45062429"/>
    <w:rsid w:val="4530BC14"/>
    <w:rsid w:val="454FDACF"/>
    <w:rsid w:val="45B55D18"/>
    <w:rsid w:val="45C4F232"/>
    <w:rsid w:val="45F80978"/>
    <w:rsid w:val="4631BDE4"/>
    <w:rsid w:val="4668C3BF"/>
    <w:rsid w:val="46AB7D54"/>
    <w:rsid w:val="46BC3296"/>
    <w:rsid w:val="46FADDFA"/>
    <w:rsid w:val="470D7C51"/>
    <w:rsid w:val="471EFF1B"/>
    <w:rsid w:val="47413854"/>
    <w:rsid w:val="4766E5FE"/>
    <w:rsid w:val="478E0A4A"/>
    <w:rsid w:val="481A0AD8"/>
    <w:rsid w:val="482A21B5"/>
    <w:rsid w:val="48455EF6"/>
    <w:rsid w:val="48457C78"/>
    <w:rsid w:val="48742D78"/>
    <w:rsid w:val="487B8E1E"/>
    <w:rsid w:val="487B9987"/>
    <w:rsid w:val="489D14E1"/>
    <w:rsid w:val="48CE2050"/>
    <w:rsid w:val="48E1B6B7"/>
    <w:rsid w:val="48E9CD6D"/>
    <w:rsid w:val="490C6141"/>
    <w:rsid w:val="4928F444"/>
    <w:rsid w:val="492A7BD9"/>
    <w:rsid w:val="49BF6D58"/>
    <w:rsid w:val="49C5F216"/>
    <w:rsid w:val="49E2EA9D"/>
    <w:rsid w:val="4A9075CF"/>
    <w:rsid w:val="4ADA2FF2"/>
    <w:rsid w:val="4AFF1A1B"/>
    <w:rsid w:val="4B3DD8E4"/>
    <w:rsid w:val="4B63E1F3"/>
    <w:rsid w:val="4B7565AD"/>
    <w:rsid w:val="4B93DE0E"/>
    <w:rsid w:val="4C212EC4"/>
    <w:rsid w:val="4C36F0E1"/>
    <w:rsid w:val="4C4632B4"/>
    <w:rsid w:val="4C5EF2F3"/>
    <w:rsid w:val="4C61F1AD"/>
    <w:rsid w:val="4C86D006"/>
    <w:rsid w:val="4CC0EAC1"/>
    <w:rsid w:val="4CD64A79"/>
    <w:rsid w:val="4CF9F175"/>
    <w:rsid w:val="4CFD92D8"/>
    <w:rsid w:val="4D427733"/>
    <w:rsid w:val="4D5DDE94"/>
    <w:rsid w:val="4D815B76"/>
    <w:rsid w:val="4DACFFE4"/>
    <w:rsid w:val="4DB65018"/>
    <w:rsid w:val="4DB6DBBA"/>
    <w:rsid w:val="4DB8ACFF"/>
    <w:rsid w:val="4DC79E3A"/>
    <w:rsid w:val="4DD4D5CE"/>
    <w:rsid w:val="4DDA595F"/>
    <w:rsid w:val="4E1BBF64"/>
    <w:rsid w:val="4E34D4CE"/>
    <w:rsid w:val="4E699E33"/>
    <w:rsid w:val="4E9DA32C"/>
    <w:rsid w:val="4EFC6851"/>
    <w:rsid w:val="4F002E20"/>
    <w:rsid w:val="4F52AC1B"/>
    <w:rsid w:val="4F6BD478"/>
    <w:rsid w:val="4F83621A"/>
    <w:rsid w:val="4FBBB442"/>
    <w:rsid w:val="50089A5B"/>
    <w:rsid w:val="503440A2"/>
    <w:rsid w:val="504279BC"/>
    <w:rsid w:val="50B9B448"/>
    <w:rsid w:val="50DB1B5A"/>
    <w:rsid w:val="5107A4D9"/>
    <w:rsid w:val="5107F029"/>
    <w:rsid w:val="5128CDC2"/>
    <w:rsid w:val="514F73DE"/>
    <w:rsid w:val="51613A99"/>
    <w:rsid w:val="51C387CA"/>
    <w:rsid w:val="51D80FE4"/>
    <w:rsid w:val="51E20E2F"/>
    <w:rsid w:val="521D5163"/>
    <w:rsid w:val="52314FB7"/>
    <w:rsid w:val="529A8E4F"/>
    <w:rsid w:val="529B87B4"/>
    <w:rsid w:val="52AF5D37"/>
    <w:rsid w:val="533340BD"/>
    <w:rsid w:val="536EA861"/>
    <w:rsid w:val="5377F38F"/>
    <w:rsid w:val="53807792"/>
    <w:rsid w:val="53883349"/>
    <w:rsid w:val="53A01567"/>
    <w:rsid w:val="53CA6E4A"/>
    <w:rsid w:val="5439199B"/>
    <w:rsid w:val="543AB107"/>
    <w:rsid w:val="545A9A71"/>
    <w:rsid w:val="549A8E5C"/>
    <w:rsid w:val="54B0AA0F"/>
    <w:rsid w:val="54D7C3D7"/>
    <w:rsid w:val="54FEAC25"/>
    <w:rsid w:val="5520039C"/>
    <w:rsid w:val="55AAD539"/>
    <w:rsid w:val="55D32876"/>
    <w:rsid w:val="561DD542"/>
    <w:rsid w:val="56780BFE"/>
    <w:rsid w:val="56AC19A8"/>
    <w:rsid w:val="56C005DA"/>
    <w:rsid w:val="5750DACA"/>
    <w:rsid w:val="576EF8D7"/>
    <w:rsid w:val="57789D5C"/>
    <w:rsid w:val="577B2116"/>
    <w:rsid w:val="577F0FB4"/>
    <w:rsid w:val="5798DC0E"/>
    <w:rsid w:val="57D07C1D"/>
    <w:rsid w:val="57E397EC"/>
    <w:rsid w:val="5847EA09"/>
    <w:rsid w:val="5848A493"/>
    <w:rsid w:val="58A6A362"/>
    <w:rsid w:val="58E25955"/>
    <w:rsid w:val="58F2624B"/>
    <w:rsid w:val="591AE015"/>
    <w:rsid w:val="593BBB1A"/>
    <w:rsid w:val="598CBE5B"/>
    <w:rsid w:val="599E8B0F"/>
    <w:rsid w:val="59D5FA3C"/>
    <w:rsid w:val="59D6760C"/>
    <w:rsid w:val="5A15027C"/>
    <w:rsid w:val="5A3767AF"/>
    <w:rsid w:val="5A442F11"/>
    <w:rsid w:val="5A4B37CD"/>
    <w:rsid w:val="5AAE871F"/>
    <w:rsid w:val="5AB6B076"/>
    <w:rsid w:val="5ABC9B38"/>
    <w:rsid w:val="5ABDE5D9"/>
    <w:rsid w:val="5AF9DE38"/>
    <w:rsid w:val="5B1C260E"/>
    <w:rsid w:val="5B362124"/>
    <w:rsid w:val="5B8D1D4A"/>
    <w:rsid w:val="5BA0ACA7"/>
    <w:rsid w:val="5BB16762"/>
    <w:rsid w:val="5BC4B822"/>
    <w:rsid w:val="5C23AC4B"/>
    <w:rsid w:val="5C5280D7"/>
    <w:rsid w:val="5C5AF303"/>
    <w:rsid w:val="5C7CDBCF"/>
    <w:rsid w:val="5CA3ED40"/>
    <w:rsid w:val="5CC45F1D"/>
    <w:rsid w:val="5CF28EE6"/>
    <w:rsid w:val="5CFECE38"/>
    <w:rsid w:val="5D608883"/>
    <w:rsid w:val="5D97A6FC"/>
    <w:rsid w:val="5D98190D"/>
    <w:rsid w:val="5DCD7610"/>
    <w:rsid w:val="5DE067A9"/>
    <w:rsid w:val="5DF0661C"/>
    <w:rsid w:val="5E08DB64"/>
    <w:rsid w:val="5E3FBDA1"/>
    <w:rsid w:val="5ECB17BF"/>
    <w:rsid w:val="5ED90A8D"/>
    <w:rsid w:val="5F24012F"/>
    <w:rsid w:val="5F2A45CD"/>
    <w:rsid w:val="5F2CBDBD"/>
    <w:rsid w:val="5F625B81"/>
    <w:rsid w:val="5FEC4C85"/>
    <w:rsid w:val="60059FD8"/>
    <w:rsid w:val="603D28FF"/>
    <w:rsid w:val="603E5C80"/>
    <w:rsid w:val="6054948E"/>
    <w:rsid w:val="605695B2"/>
    <w:rsid w:val="60B390A6"/>
    <w:rsid w:val="6112410C"/>
    <w:rsid w:val="61225097"/>
    <w:rsid w:val="61927EA0"/>
    <w:rsid w:val="61A50672"/>
    <w:rsid w:val="61D0CF13"/>
    <w:rsid w:val="61F7E0E1"/>
    <w:rsid w:val="6265FE8C"/>
    <w:rsid w:val="626CF78D"/>
    <w:rsid w:val="62821A07"/>
    <w:rsid w:val="62B1AB7E"/>
    <w:rsid w:val="62BBD575"/>
    <w:rsid w:val="637299BB"/>
    <w:rsid w:val="6412CF5B"/>
    <w:rsid w:val="644B7F0D"/>
    <w:rsid w:val="64E30B92"/>
    <w:rsid w:val="658701C9"/>
    <w:rsid w:val="659342B3"/>
    <w:rsid w:val="65961191"/>
    <w:rsid w:val="65BAB9E4"/>
    <w:rsid w:val="65EC13C3"/>
    <w:rsid w:val="66353ECF"/>
    <w:rsid w:val="66645EB7"/>
    <w:rsid w:val="6665EFC3"/>
    <w:rsid w:val="66CBD45C"/>
    <w:rsid w:val="6740827B"/>
    <w:rsid w:val="678754E1"/>
    <w:rsid w:val="6795337E"/>
    <w:rsid w:val="679D2104"/>
    <w:rsid w:val="68817282"/>
    <w:rsid w:val="68BB0B23"/>
    <w:rsid w:val="68BEA28B"/>
    <w:rsid w:val="69210364"/>
    <w:rsid w:val="693318C3"/>
    <w:rsid w:val="6965BCF8"/>
    <w:rsid w:val="69B8BC16"/>
    <w:rsid w:val="69C608BA"/>
    <w:rsid w:val="6A0DCA66"/>
    <w:rsid w:val="6A11A374"/>
    <w:rsid w:val="6A355167"/>
    <w:rsid w:val="6A46198D"/>
    <w:rsid w:val="6A6CFABF"/>
    <w:rsid w:val="6A7CD877"/>
    <w:rsid w:val="6A915378"/>
    <w:rsid w:val="6AD4C1C6"/>
    <w:rsid w:val="6B4099C4"/>
    <w:rsid w:val="6B87EE67"/>
    <w:rsid w:val="6BB937D0"/>
    <w:rsid w:val="6BCB726D"/>
    <w:rsid w:val="6BD31AD4"/>
    <w:rsid w:val="6BDADBEC"/>
    <w:rsid w:val="6C215048"/>
    <w:rsid w:val="6C70492B"/>
    <w:rsid w:val="6CC69993"/>
    <w:rsid w:val="6CCC6E6A"/>
    <w:rsid w:val="6CF7E18B"/>
    <w:rsid w:val="6D14F202"/>
    <w:rsid w:val="6D23BEC8"/>
    <w:rsid w:val="6D433F37"/>
    <w:rsid w:val="6D58FE0F"/>
    <w:rsid w:val="6DA96F42"/>
    <w:rsid w:val="6DDAC5EC"/>
    <w:rsid w:val="6E642EA2"/>
    <w:rsid w:val="6EABE57C"/>
    <w:rsid w:val="6EB0C263"/>
    <w:rsid w:val="6ED6E641"/>
    <w:rsid w:val="6F307C01"/>
    <w:rsid w:val="6F48E8A0"/>
    <w:rsid w:val="6F6F3A42"/>
    <w:rsid w:val="6F7EF3AF"/>
    <w:rsid w:val="6FA2702C"/>
    <w:rsid w:val="6FB3521C"/>
    <w:rsid w:val="6FCAB20F"/>
    <w:rsid w:val="701A112F"/>
    <w:rsid w:val="701FEEC0"/>
    <w:rsid w:val="706F389C"/>
    <w:rsid w:val="70750151"/>
    <w:rsid w:val="709BE7CB"/>
    <w:rsid w:val="70ACAFF1"/>
    <w:rsid w:val="70AE4D0F"/>
    <w:rsid w:val="70FB7DD3"/>
    <w:rsid w:val="712E9993"/>
    <w:rsid w:val="718B7ABE"/>
    <w:rsid w:val="71BA39D4"/>
    <w:rsid w:val="71F95067"/>
    <w:rsid w:val="72644CC5"/>
    <w:rsid w:val="72BE81F7"/>
    <w:rsid w:val="72C7C7AA"/>
    <w:rsid w:val="72D7E75E"/>
    <w:rsid w:val="72E87EE7"/>
    <w:rsid w:val="730249F6"/>
    <w:rsid w:val="739F3FF8"/>
    <w:rsid w:val="73C4C4BC"/>
    <w:rsid w:val="73FFBFC8"/>
    <w:rsid w:val="74663A55"/>
    <w:rsid w:val="747BA40C"/>
    <w:rsid w:val="7495BF51"/>
    <w:rsid w:val="74C53CA1"/>
    <w:rsid w:val="74F26657"/>
    <w:rsid w:val="7520B7CB"/>
    <w:rsid w:val="75698E5D"/>
    <w:rsid w:val="758C59FA"/>
    <w:rsid w:val="75BBCA3B"/>
    <w:rsid w:val="75D4307E"/>
    <w:rsid w:val="761BB460"/>
    <w:rsid w:val="76299FD0"/>
    <w:rsid w:val="7632EE19"/>
    <w:rsid w:val="763FEEF0"/>
    <w:rsid w:val="767E16C1"/>
    <w:rsid w:val="76D860F6"/>
    <w:rsid w:val="76E6F5A6"/>
    <w:rsid w:val="771D8E93"/>
    <w:rsid w:val="7777C406"/>
    <w:rsid w:val="77AF973B"/>
    <w:rsid w:val="7813908A"/>
    <w:rsid w:val="7819E722"/>
    <w:rsid w:val="78307C47"/>
    <w:rsid w:val="78818B6A"/>
    <w:rsid w:val="7896E44F"/>
    <w:rsid w:val="790E983D"/>
    <w:rsid w:val="7912A683"/>
    <w:rsid w:val="7993F98A"/>
    <w:rsid w:val="79A27978"/>
    <w:rsid w:val="79C9F1F6"/>
    <w:rsid w:val="7A2408B8"/>
    <w:rsid w:val="7A3D8507"/>
    <w:rsid w:val="7A69E943"/>
    <w:rsid w:val="7A9EFB0A"/>
    <w:rsid w:val="7ABB17B2"/>
    <w:rsid w:val="7AD5FD26"/>
    <w:rsid w:val="7AED050C"/>
    <w:rsid w:val="7B0474F0"/>
    <w:rsid w:val="7B5187E4"/>
    <w:rsid w:val="7B61A7DB"/>
    <w:rsid w:val="7B8118C6"/>
    <w:rsid w:val="7BDA6A5F"/>
    <w:rsid w:val="7CA09E65"/>
    <w:rsid w:val="7CCB9A4C"/>
    <w:rsid w:val="7CF34297"/>
    <w:rsid w:val="7D330352"/>
    <w:rsid w:val="7D55C19E"/>
    <w:rsid w:val="7D5E1578"/>
    <w:rsid w:val="7D70926D"/>
    <w:rsid w:val="7D9C1077"/>
    <w:rsid w:val="7DEA6148"/>
    <w:rsid w:val="7E0D9DE8"/>
    <w:rsid w:val="7E2660A3"/>
    <w:rsid w:val="7E349E20"/>
    <w:rsid w:val="7E925942"/>
    <w:rsid w:val="7EA11486"/>
    <w:rsid w:val="7EB043D2"/>
    <w:rsid w:val="7EB9B29A"/>
    <w:rsid w:val="7EBACE01"/>
    <w:rsid w:val="7F29D8C5"/>
    <w:rsid w:val="7F6B03CD"/>
    <w:rsid w:val="7FC23104"/>
    <w:rsid w:val="7FC5FB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5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E6"/>
    <w:pPr>
      <w:widowControl w:val="0"/>
      <w:spacing w:after="220"/>
    </w:pPr>
    <w:rPr>
      <w:rFonts w:ascii="Arial" w:hAnsi="Arial"/>
      <w:snapToGrid w:val="0"/>
      <w:sz w:val="22"/>
      <w:lang w:eastAsia="en-US"/>
    </w:rPr>
  </w:style>
  <w:style w:type="paragraph" w:styleId="Heading1">
    <w:name w:val="heading 1"/>
    <w:basedOn w:val="05IANumberedparagraph"/>
    <w:next w:val="Normal"/>
    <w:qFormat/>
    <w:rsid w:val="003A4735"/>
    <w:pPr>
      <w:numPr>
        <w:numId w:val="0"/>
      </w:numPr>
      <w:outlineLvl w:val="0"/>
    </w:pPr>
    <w:rPr>
      <w:b/>
      <w:color w:val="45005E"/>
      <w:sz w:val="32"/>
    </w:rPr>
  </w:style>
  <w:style w:type="paragraph" w:styleId="Heading2">
    <w:name w:val="heading 2"/>
    <w:basedOn w:val="05IANumberedparagraph"/>
    <w:next w:val="Normal"/>
    <w:link w:val="Heading2Char"/>
    <w:autoRedefine/>
    <w:qFormat/>
    <w:rsid w:val="005D52FE"/>
    <w:pPr>
      <w:numPr>
        <w:numId w:val="0"/>
      </w:numPr>
      <w:outlineLvl w:val="1"/>
    </w:pPr>
    <w:rPr>
      <w:b/>
      <w:color w:val="56AF34"/>
      <w:sz w:val="28"/>
    </w:rPr>
  </w:style>
  <w:style w:type="paragraph" w:styleId="Heading3">
    <w:name w:val="heading 3"/>
    <w:basedOn w:val="05IANumberedparagraph"/>
    <w:next w:val="Normal"/>
    <w:qFormat/>
    <w:rsid w:val="003A4735"/>
    <w:pPr>
      <w:numPr>
        <w:numId w:val="0"/>
      </w:numPr>
      <w:outlineLvl w:val="2"/>
    </w:pPr>
    <w:rPr>
      <w:b/>
      <w:color w:val="4D4D4D"/>
      <w:sz w:val="24"/>
    </w:rPr>
  </w:style>
  <w:style w:type="paragraph" w:styleId="Heading4">
    <w:name w:val="heading 4"/>
    <w:basedOn w:val="Normal"/>
    <w:next w:val="Normal"/>
    <w:qFormat/>
    <w:rsid w:val="0074524B"/>
    <w:pPr>
      <w:keepNext/>
      <w:widowControl/>
      <w:spacing w:after="0"/>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link w:val="HeaderChar"/>
    <w:uiPriority w:val="99"/>
    <w:rsid w:val="00836AD5"/>
  </w:style>
  <w:style w:type="paragraph" w:styleId="Footer">
    <w:name w:val="footer"/>
    <w:basedOn w:val="Normal"/>
    <w:link w:val="FooterChar"/>
    <w:uiPriority w:val="99"/>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4"/>
      </w:numPr>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link w:val="CommentTextChar"/>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aliases w:val="Numbered Paragraph,Dot pt,F5 List Paragraph,Colorful List - Accent 11,No Spacing1,List Paragraph Char Char Char,Indicator Text,Numbered Para 1,Bullet Points,MAIN CONTENT,List Paragraph12,List Paragraph2,Normal numbered,OBC Bullet,L"/>
    <w:basedOn w:val="Normal"/>
    <w:link w:val="ListParagraphChar"/>
    <w:uiPriority w:val="34"/>
    <w:qFormat/>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E3FBD"/>
    <w:rPr>
      <w:rFonts w:ascii="Arial" w:hAnsi="Arial"/>
      <w:snapToGrid w:val="0"/>
      <w:sz w:val="22"/>
      <w:lang w:eastAsia="en-US"/>
    </w:rPr>
  </w:style>
  <w:style w:type="paragraph" w:customStyle="1" w:styleId="Numbered">
    <w:name w:val="Numbered"/>
    <w:basedOn w:val="Normal"/>
    <w:link w:val="NumberedChar"/>
    <w:qFormat/>
    <w:rsid w:val="009E7D77"/>
    <w:pPr>
      <w:numPr>
        <w:numId w:val="7"/>
      </w:numPr>
      <w:tabs>
        <w:tab w:val="left" w:pos="567"/>
      </w:tabs>
    </w:pPr>
  </w:style>
  <w:style w:type="numbering" w:customStyle="1" w:styleId="QAAmultilist">
    <w:name w:val="QAA multi list"/>
    <w:uiPriority w:val="99"/>
    <w:rsid w:val="00566E7B"/>
    <w:pPr>
      <w:numPr>
        <w:numId w:val="6"/>
      </w:numPr>
    </w:pPr>
  </w:style>
  <w:style w:type="numbering" w:customStyle="1" w:styleId="QAAlist">
    <w:name w:val="QAA list"/>
    <w:uiPriority w:val="99"/>
    <w:rsid w:val="002A46AB"/>
    <w:pPr>
      <w:numPr>
        <w:numId w:val="8"/>
      </w:numPr>
    </w:pPr>
  </w:style>
  <w:style w:type="paragraph" w:customStyle="1" w:styleId="HKJHJKHJKHk">
    <w:name w:val="HKJHJKHJKHk"/>
    <w:basedOn w:val="Numbered"/>
    <w:link w:val="QAAnumberedChar"/>
    <w:rsid w:val="002A46AB"/>
    <w:pPr>
      <w:widowControl/>
      <w:numPr>
        <w:numId w:val="9"/>
      </w:numPr>
      <w:tabs>
        <w:tab w:val="left" w:pos="851"/>
      </w:tabs>
    </w:pPr>
  </w:style>
  <w:style w:type="character" w:customStyle="1" w:styleId="ListParagraphChar">
    <w:name w:val="List Paragraph Char"/>
    <w:aliases w:val="Numbered Paragraph Char,Dot pt Char,F5 List Paragraph Char,Colorful List - Accent 11 Char,No Spacing1 Char,List Paragraph Char Char Char Char,Indicator Text Char,Numbered Para 1 Char,Bullet Points Char,MAIN CONTENT Char,L Char"/>
    <w:basedOn w:val="DefaultParagraphFont"/>
    <w:link w:val="ListParagraph"/>
    <w:uiPriority w:val="34"/>
    <w:qFormat/>
    <w:rsid w:val="004655C5"/>
    <w:rPr>
      <w:rFonts w:ascii="Arial" w:hAnsi="Arial"/>
      <w:snapToGrid w:val="0"/>
      <w:sz w:val="22"/>
      <w:lang w:eastAsia="en-US"/>
    </w:rPr>
  </w:style>
  <w:style w:type="character" w:customStyle="1" w:styleId="NumberedChar">
    <w:name w:val="Numbered Char"/>
    <w:basedOn w:val="DefaultParagraphFont"/>
    <w:link w:val="Numbered"/>
    <w:rsid w:val="009E7D77"/>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3E7910"/>
    <w:pPr>
      <w:widowControl/>
      <w:numPr>
        <w:ilvl w:val="1"/>
        <w:numId w:val="12"/>
      </w:numPr>
      <w:tabs>
        <w:tab w:val="left" w:pos="851"/>
      </w:tabs>
    </w:pPr>
    <w:rPr>
      <w:rFonts w:cs="Arial"/>
      <w:snapToGrid/>
      <w:szCs w:val="24"/>
      <w:lang w:eastAsia="en-GB"/>
    </w:rPr>
  </w:style>
  <w:style w:type="character" w:customStyle="1" w:styleId="Numbered2Char">
    <w:name w:val="Numbered 2 Char"/>
    <w:basedOn w:val="DefaultParagraphFont"/>
    <w:link w:val="Numbered2"/>
    <w:rsid w:val="003E7910"/>
    <w:rPr>
      <w:rFonts w:ascii="Arial" w:hAnsi="Arial" w:cs="Arial"/>
      <w:sz w:val="22"/>
      <w:szCs w:val="24"/>
    </w:rPr>
  </w:style>
  <w:style w:type="numbering" w:customStyle="1" w:styleId="QAAmulti-levellist">
    <w:name w:val="QAA multi-level list"/>
    <w:uiPriority w:val="99"/>
    <w:rsid w:val="00F601AC"/>
    <w:pPr>
      <w:numPr>
        <w:numId w:val="10"/>
      </w:numPr>
    </w:pPr>
  </w:style>
  <w:style w:type="numbering" w:customStyle="1" w:styleId="LIST2">
    <w:name w:val="LIST2"/>
    <w:uiPriority w:val="99"/>
    <w:rsid w:val="00637F2D"/>
    <w:pPr>
      <w:numPr>
        <w:numId w:val="11"/>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iPriority w:val="99"/>
    <w:unhideWhenUsed/>
    <w:rsid w:val="005B6743"/>
    <w:rPr>
      <w:color w:val="0000FF"/>
      <w:u w:val="single"/>
    </w:rPr>
  </w:style>
  <w:style w:type="paragraph" w:customStyle="1" w:styleId="QAAbullet">
    <w:name w:val="QAA bullet"/>
    <w:basedOn w:val="05IANumberedparagraph"/>
    <w:link w:val="QAAbulletChar"/>
    <w:qFormat/>
    <w:rsid w:val="0025501A"/>
    <w:pPr>
      <w:numPr>
        <w:numId w:val="5"/>
      </w:numPr>
      <w:spacing w:after="40"/>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25501A"/>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D42EC0"/>
    <w:pPr>
      <w:tabs>
        <w:tab w:val="right" w:leader="dot" w:pos="9016"/>
      </w:tabs>
      <w:ind w:left="567"/>
    </w:pPr>
  </w:style>
  <w:style w:type="paragraph" w:customStyle="1" w:styleId="Subbullet">
    <w:name w:val="Sub bullet"/>
    <w:basedOn w:val="Normal"/>
    <w:uiPriority w:val="99"/>
    <w:qFormat/>
    <w:rsid w:val="00C95E4D"/>
    <w:pPr>
      <w:widowControl/>
      <w:numPr>
        <w:numId w:val="14"/>
      </w:numPr>
      <w:tabs>
        <w:tab w:val="left" w:pos="851"/>
      </w:tabs>
      <w:spacing w:after="0"/>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5D52FE"/>
    <w:rPr>
      <w:rFonts w:ascii="Arial" w:hAnsi="Arial"/>
      <w:b/>
      <w:snapToGrid w:val="0"/>
      <w:color w:val="56AF34"/>
      <w:sz w:val="28"/>
      <w:lang w:eastAsia="en-US"/>
    </w:rPr>
  </w:style>
  <w:style w:type="character" w:customStyle="1" w:styleId="Heading2contentsChar">
    <w:name w:val="Heading 2 contents Char"/>
    <w:basedOn w:val="Heading2Char"/>
    <w:link w:val="Heading2contents"/>
    <w:rsid w:val="00341667"/>
    <w:rPr>
      <w:rFonts w:ascii="Arial" w:hAnsi="Arial"/>
      <w:b/>
      <w:snapToGrid w:val="0"/>
      <w:color w:val="CC6532"/>
      <w:sz w:val="28"/>
      <w:lang w:eastAsia="en-US"/>
    </w:rPr>
  </w:style>
  <w:style w:type="paragraph" w:customStyle="1" w:styleId="NumberedRoman">
    <w:name w:val="Numbered Roman"/>
    <w:basedOn w:val="Normal"/>
    <w:rsid w:val="007722B7"/>
    <w:pPr>
      <w:numPr>
        <w:numId w:val="13"/>
      </w:numPr>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character" w:customStyle="1" w:styleId="HeaderChar">
    <w:name w:val="Header Char"/>
    <w:basedOn w:val="DefaultParagraphFont"/>
    <w:link w:val="Header"/>
    <w:uiPriority w:val="99"/>
    <w:rsid w:val="00052FDE"/>
    <w:rPr>
      <w:rFonts w:ascii="Arial" w:hAnsi="Arial"/>
      <w:snapToGrid w:val="0"/>
      <w:sz w:val="22"/>
      <w:lang w:eastAsia="en-US"/>
    </w:rPr>
  </w:style>
  <w:style w:type="character" w:styleId="UnresolvedMention">
    <w:name w:val="Unresolved Mention"/>
    <w:basedOn w:val="DefaultParagraphFont"/>
    <w:uiPriority w:val="99"/>
    <w:unhideWhenUsed/>
    <w:rsid w:val="00FA5EF4"/>
    <w:rPr>
      <w:color w:val="605E5C"/>
      <w:shd w:val="clear" w:color="auto" w:fill="E1DFDD"/>
    </w:rPr>
  </w:style>
  <w:style w:type="paragraph" w:styleId="TOCHeading">
    <w:name w:val="TOC Heading"/>
    <w:basedOn w:val="Heading1"/>
    <w:next w:val="Normal"/>
    <w:uiPriority w:val="39"/>
    <w:unhideWhenUsed/>
    <w:rsid w:val="00201927"/>
    <w:pPr>
      <w:keepNext/>
      <w:keepLines/>
      <w:spacing w:before="240" w:after="0" w:line="259" w:lineRule="auto"/>
      <w:outlineLvl w:val="9"/>
    </w:pPr>
    <w:rPr>
      <w:rFonts w:asciiTheme="majorHAnsi" w:eastAsiaTheme="majorEastAsia" w:hAnsiTheme="majorHAnsi" w:cstheme="majorBidi"/>
      <w:b w:val="0"/>
      <w:snapToGrid/>
      <w:color w:val="393939" w:themeColor="accent1" w:themeShade="BF"/>
      <w:szCs w:val="32"/>
      <w:lang w:val="en-US"/>
    </w:rPr>
  </w:style>
  <w:style w:type="paragraph" w:styleId="Title">
    <w:name w:val="Title"/>
    <w:basedOn w:val="Normal"/>
    <w:next w:val="Normal"/>
    <w:link w:val="TitleChar"/>
    <w:uiPriority w:val="10"/>
    <w:qFormat/>
    <w:rsid w:val="00F84092"/>
    <w:pPr>
      <w:spacing w:after="480"/>
    </w:pPr>
    <w:rPr>
      <w:rFonts w:cs="Arial"/>
      <w:b/>
      <w:bCs/>
      <w:color w:val="45005E"/>
      <w:sz w:val="40"/>
      <w:szCs w:val="36"/>
    </w:rPr>
  </w:style>
  <w:style w:type="character" w:customStyle="1" w:styleId="TitleChar">
    <w:name w:val="Title Char"/>
    <w:basedOn w:val="DefaultParagraphFont"/>
    <w:link w:val="Title"/>
    <w:uiPriority w:val="10"/>
    <w:rsid w:val="00F84092"/>
    <w:rPr>
      <w:rFonts w:ascii="Arial" w:hAnsi="Arial" w:cs="Arial"/>
      <w:b/>
      <w:bCs/>
      <w:snapToGrid w:val="0"/>
      <w:color w:val="45005E"/>
      <w:sz w:val="40"/>
      <w:szCs w:val="36"/>
      <w:lang w:eastAsia="en-US"/>
    </w:rPr>
  </w:style>
  <w:style w:type="paragraph" w:customStyle="1" w:styleId="QAAnormal">
    <w:name w:val="QAA normal"/>
    <w:basedOn w:val="Normal"/>
    <w:link w:val="QAAnormalChar"/>
    <w:qFormat/>
    <w:rsid w:val="00564691"/>
    <w:pPr>
      <w:widowControl/>
      <w:spacing w:after="0"/>
      <w:outlineLvl w:val="0"/>
    </w:pPr>
    <w:rPr>
      <w:noProof/>
      <w:snapToGrid/>
      <w:szCs w:val="22"/>
      <w:lang w:eastAsia="en-GB"/>
    </w:rPr>
  </w:style>
  <w:style w:type="character" w:customStyle="1" w:styleId="QAAnormalChar">
    <w:name w:val="QAA normal Char"/>
    <w:basedOn w:val="DefaultParagraphFont"/>
    <w:link w:val="QAAnormal"/>
    <w:rsid w:val="00564691"/>
    <w:rPr>
      <w:rFonts w:ascii="Arial" w:hAnsi="Arial"/>
      <w:noProof/>
      <w:sz w:val="22"/>
      <w:szCs w:val="22"/>
    </w:rPr>
  </w:style>
  <w:style w:type="paragraph" w:customStyle="1" w:styleId="paragraph">
    <w:name w:val="paragraph"/>
    <w:basedOn w:val="Normal"/>
    <w:rsid w:val="00C32F31"/>
    <w:pPr>
      <w:widowControl/>
      <w:spacing w:before="100" w:beforeAutospacing="1" w:after="100" w:afterAutospacing="1"/>
    </w:pPr>
    <w:rPr>
      <w:rFonts w:ascii="Times New Roman" w:hAnsi="Times New Roman"/>
      <w:snapToGrid/>
      <w:sz w:val="24"/>
      <w:szCs w:val="24"/>
      <w:lang w:eastAsia="en-GB"/>
    </w:rPr>
  </w:style>
  <w:style w:type="character" w:customStyle="1" w:styleId="normaltextrun">
    <w:name w:val="normaltextrun"/>
    <w:basedOn w:val="DefaultParagraphFont"/>
    <w:rsid w:val="00C32F31"/>
  </w:style>
  <w:style w:type="character" w:customStyle="1" w:styleId="eop">
    <w:name w:val="eop"/>
    <w:basedOn w:val="DefaultParagraphFont"/>
    <w:rsid w:val="00C32F31"/>
  </w:style>
  <w:style w:type="paragraph" w:customStyle="1" w:styleId="BulletedList">
    <w:name w:val="Bulleted List"/>
    <w:basedOn w:val="Normal"/>
    <w:uiPriority w:val="5"/>
    <w:qFormat/>
    <w:rsid w:val="005A04DD"/>
    <w:pPr>
      <w:numPr>
        <w:numId w:val="16"/>
      </w:numPr>
      <w:spacing w:after="80"/>
      <w:ind w:left="567" w:right="284" w:hanging="567"/>
    </w:pPr>
    <w:rPr>
      <w:rFonts w:eastAsia="SimSun"/>
      <w:lang w:eastAsia="en-GB"/>
    </w:rPr>
  </w:style>
  <w:style w:type="table" w:styleId="GridTable6ColourfulAccent4">
    <w:name w:val="Grid Table 6 Colorful Accent 4"/>
    <w:basedOn w:val="TableNormal"/>
    <w:uiPriority w:val="51"/>
    <w:rPr>
      <w:color w:val="A31023" w:themeColor="accent4" w:themeShade="BF"/>
    </w:rPr>
    <w:tblPr>
      <w:tblStyleRowBandSize w:val="1"/>
      <w:tblStyleColBandSize w:val="1"/>
      <w:tblBorders>
        <w:top w:val="single" w:sz="4" w:space="0" w:color="F06C7C" w:themeColor="accent4" w:themeTint="99"/>
        <w:left w:val="single" w:sz="4" w:space="0" w:color="F06C7C" w:themeColor="accent4" w:themeTint="99"/>
        <w:bottom w:val="single" w:sz="4" w:space="0" w:color="F06C7C" w:themeColor="accent4" w:themeTint="99"/>
        <w:right w:val="single" w:sz="4" w:space="0" w:color="F06C7C" w:themeColor="accent4" w:themeTint="99"/>
        <w:insideH w:val="single" w:sz="4" w:space="0" w:color="F06C7C" w:themeColor="accent4" w:themeTint="99"/>
        <w:insideV w:val="single" w:sz="4" w:space="0" w:color="F06C7C" w:themeColor="accent4" w:themeTint="99"/>
      </w:tblBorders>
    </w:tblPr>
    <w:tblStylePr w:type="firstRow">
      <w:rPr>
        <w:b/>
        <w:bCs/>
      </w:rPr>
      <w:tblPr/>
      <w:tcPr>
        <w:tcBorders>
          <w:bottom w:val="single" w:sz="12" w:space="0" w:color="F06C7C" w:themeColor="accent4" w:themeTint="99"/>
        </w:tcBorders>
      </w:tcPr>
    </w:tblStylePr>
    <w:tblStylePr w:type="lastRow">
      <w:rPr>
        <w:b/>
        <w:bCs/>
      </w:rPr>
      <w:tblPr/>
      <w:tcPr>
        <w:tcBorders>
          <w:top w:val="double" w:sz="4" w:space="0" w:color="F06C7C" w:themeColor="accent4" w:themeTint="99"/>
        </w:tcBorders>
      </w:tcPr>
    </w:tblStylePr>
    <w:tblStylePr w:type="firstCol">
      <w:rPr>
        <w:b/>
        <w:bCs/>
      </w:rPr>
    </w:tblStylePr>
    <w:tblStylePr w:type="lastCol">
      <w:rPr>
        <w:b/>
        <w:bCs/>
      </w:rPr>
    </w:tblStylePr>
    <w:tblStylePr w:type="band1Vert">
      <w:tblPr/>
      <w:tcPr>
        <w:shd w:val="clear" w:color="auto" w:fill="FACDD3" w:themeFill="accent4" w:themeFillTint="33"/>
      </w:tcPr>
    </w:tblStylePr>
    <w:tblStylePr w:type="band1Horz">
      <w:tblPr/>
      <w:tcPr>
        <w:shd w:val="clear" w:color="auto" w:fill="FACDD3" w:themeFill="accent4" w:themeFillTint="33"/>
      </w:tcPr>
    </w:tblStylePr>
  </w:style>
  <w:style w:type="character" w:styleId="FollowedHyperlink">
    <w:name w:val="FollowedHyperlink"/>
    <w:basedOn w:val="DefaultParagraphFont"/>
    <w:uiPriority w:val="99"/>
    <w:semiHidden/>
    <w:unhideWhenUsed/>
    <w:rsid w:val="006B3123"/>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8A23F3"/>
    <w:pPr>
      <w:autoSpaceDE w:val="0"/>
      <w:autoSpaceDN w:val="0"/>
      <w:spacing w:after="0"/>
    </w:pPr>
    <w:rPr>
      <w:rFonts w:eastAsia="Arial" w:cs="Arial"/>
      <w:snapToGrid/>
      <w:szCs w:val="22"/>
      <w:lang w:eastAsia="en-GB" w:bidi="en-GB"/>
    </w:rPr>
  </w:style>
  <w:style w:type="character" w:customStyle="1" w:styleId="CommentTextChar">
    <w:name w:val="Comment Text Char"/>
    <w:basedOn w:val="DefaultParagraphFont"/>
    <w:link w:val="CommentText"/>
    <w:semiHidden/>
    <w:rsid w:val="006C2AE1"/>
    <w:rPr>
      <w:rFonts w:ascii="Arial" w:hAnsi="Arial"/>
      <w:snapToGrid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758937">
      <w:bodyDiv w:val="1"/>
      <w:marLeft w:val="0"/>
      <w:marRight w:val="0"/>
      <w:marTop w:val="0"/>
      <w:marBottom w:val="0"/>
      <w:divBdr>
        <w:top w:val="none" w:sz="0" w:space="0" w:color="auto"/>
        <w:left w:val="none" w:sz="0" w:space="0" w:color="auto"/>
        <w:bottom w:val="none" w:sz="0" w:space="0" w:color="auto"/>
        <w:right w:val="none" w:sz="0" w:space="0" w:color="auto"/>
      </w:divBdr>
      <w:divsChild>
        <w:div w:id="836578189">
          <w:marLeft w:val="0"/>
          <w:marRight w:val="0"/>
          <w:marTop w:val="0"/>
          <w:marBottom w:val="0"/>
          <w:divBdr>
            <w:top w:val="none" w:sz="0" w:space="0" w:color="auto"/>
            <w:left w:val="none" w:sz="0" w:space="0" w:color="auto"/>
            <w:bottom w:val="none" w:sz="0" w:space="0" w:color="auto"/>
            <w:right w:val="none" w:sz="0" w:space="0" w:color="auto"/>
          </w:divBdr>
        </w:div>
        <w:div w:id="1706321284">
          <w:marLeft w:val="0"/>
          <w:marRight w:val="0"/>
          <w:marTop w:val="0"/>
          <w:marBottom w:val="0"/>
          <w:divBdr>
            <w:top w:val="none" w:sz="0" w:space="0" w:color="auto"/>
            <w:left w:val="none" w:sz="0" w:space="0" w:color="auto"/>
            <w:bottom w:val="none" w:sz="0" w:space="0" w:color="auto"/>
            <w:right w:val="none" w:sz="0" w:space="0" w:color="auto"/>
          </w:divBdr>
        </w:div>
      </w:divsChild>
    </w:div>
    <w:div w:id="1193961421">
      <w:bodyDiv w:val="1"/>
      <w:marLeft w:val="0"/>
      <w:marRight w:val="0"/>
      <w:marTop w:val="0"/>
      <w:marBottom w:val="0"/>
      <w:divBdr>
        <w:top w:val="none" w:sz="0" w:space="0" w:color="auto"/>
        <w:left w:val="none" w:sz="0" w:space="0" w:color="auto"/>
        <w:bottom w:val="none" w:sz="0" w:space="0" w:color="auto"/>
        <w:right w:val="none" w:sz="0" w:space="0" w:color="auto"/>
      </w:divBdr>
      <w:divsChild>
        <w:div w:id="836532815">
          <w:marLeft w:val="0"/>
          <w:marRight w:val="0"/>
          <w:marTop w:val="0"/>
          <w:marBottom w:val="0"/>
          <w:divBdr>
            <w:top w:val="none" w:sz="0" w:space="0" w:color="auto"/>
            <w:left w:val="none" w:sz="0" w:space="0" w:color="auto"/>
            <w:bottom w:val="none" w:sz="0" w:space="0" w:color="auto"/>
            <w:right w:val="none" w:sz="0" w:space="0" w:color="auto"/>
          </w:divBdr>
        </w:div>
        <w:div w:id="1437797932">
          <w:marLeft w:val="0"/>
          <w:marRight w:val="0"/>
          <w:marTop w:val="0"/>
          <w:marBottom w:val="0"/>
          <w:divBdr>
            <w:top w:val="none" w:sz="0" w:space="0" w:color="auto"/>
            <w:left w:val="none" w:sz="0" w:space="0" w:color="auto"/>
            <w:bottom w:val="none" w:sz="0" w:space="0" w:color="auto"/>
            <w:right w:val="none" w:sz="0" w:space="0" w:color="auto"/>
          </w:divBdr>
        </w:div>
      </w:divsChild>
    </w:div>
    <w:div w:id="2056083408">
      <w:bodyDiv w:val="1"/>
      <w:marLeft w:val="0"/>
      <w:marRight w:val="0"/>
      <w:marTop w:val="0"/>
      <w:marBottom w:val="0"/>
      <w:divBdr>
        <w:top w:val="none" w:sz="0" w:space="0" w:color="auto"/>
        <w:left w:val="none" w:sz="0" w:space="0" w:color="auto"/>
        <w:bottom w:val="none" w:sz="0" w:space="0" w:color="auto"/>
        <w:right w:val="none" w:sz="0" w:space="0" w:color="auto"/>
      </w:divBdr>
      <w:divsChild>
        <w:div w:id="210775213">
          <w:marLeft w:val="0"/>
          <w:marRight w:val="0"/>
          <w:marTop w:val="0"/>
          <w:marBottom w:val="0"/>
          <w:divBdr>
            <w:top w:val="none" w:sz="0" w:space="0" w:color="auto"/>
            <w:left w:val="none" w:sz="0" w:space="0" w:color="auto"/>
            <w:bottom w:val="none" w:sz="0" w:space="0" w:color="auto"/>
            <w:right w:val="none" w:sz="0" w:space="0" w:color="auto"/>
          </w:divBdr>
        </w:div>
        <w:div w:id="668560001">
          <w:marLeft w:val="0"/>
          <w:marRight w:val="0"/>
          <w:marTop w:val="0"/>
          <w:marBottom w:val="0"/>
          <w:divBdr>
            <w:top w:val="none" w:sz="0" w:space="0" w:color="auto"/>
            <w:left w:val="none" w:sz="0" w:space="0" w:color="auto"/>
            <w:bottom w:val="none" w:sz="0" w:space="0" w:color="auto"/>
            <w:right w:val="none" w:sz="0" w:space="0" w:color="auto"/>
          </w:divBdr>
        </w:div>
        <w:div w:id="1655455501">
          <w:marLeft w:val="0"/>
          <w:marRight w:val="0"/>
          <w:marTop w:val="0"/>
          <w:marBottom w:val="0"/>
          <w:divBdr>
            <w:top w:val="none" w:sz="0" w:space="0" w:color="auto"/>
            <w:left w:val="none" w:sz="0" w:space="0" w:color="auto"/>
            <w:bottom w:val="none" w:sz="0" w:space="0" w:color="auto"/>
            <w:right w:val="none" w:sz="0" w:space="0" w:color="auto"/>
          </w:divBdr>
        </w:div>
        <w:div w:id="1812287828">
          <w:marLeft w:val="0"/>
          <w:marRight w:val="0"/>
          <w:marTop w:val="0"/>
          <w:marBottom w:val="0"/>
          <w:divBdr>
            <w:top w:val="none" w:sz="0" w:space="0" w:color="auto"/>
            <w:left w:val="none" w:sz="0" w:space="0" w:color="auto"/>
            <w:bottom w:val="none" w:sz="0" w:space="0" w:color="auto"/>
            <w:right w:val="none" w:sz="0" w:space="0" w:color="auto"/>
          </w:divBdr>
        </w:div>
        <w:div w:id="1929657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hea.info/media.ehea.info/file/WG_Frameworks_qualification/71/0/050218_QF_EHEA_58071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qbengland.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qaa.ac.uk/docs/qaa/guidance/educational-oversight-review-guidance-for-providers.pdf?sfvrsn=cf98bb81_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42">
      <a:dk1>
        <a:sysClr val="windowText" lastClr="000000"/>
      </a:dk1>
      <a:lt1>
        <a:sysClr val="window" lastClr="FFFFFF"/>
      </a:lt1>
      <a:dk2>
        <a:srgbClr val="56AF34"/>
      </a:dk2>
      <a:lt2>
        <a:srgbClr val="45005E"/>
      </a:lt2>
      <a:accent1>
        <a:srgbClr val="4D4D4D"/>
      </a:accent1>
      <a:accent2>
        <a:srgbClr val="0076A9"/>
      </a:accent2>
      <a:accent3>
        <a:srgbClr val="C59620"/>
      </a:accent3>
      <a:accent4>
        <a:srgbClr val="DB162F"/>
      </a:accent4>
      <a:accent5>
        <a:srgbClr val="00A99D"/>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467B0-3C82-49FD-B48E-6DE4CCCD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7028</Words>
  <Characters>40063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46998</CharactersWithSpaces>
  <SharedDoc>false</SharedDoc>
  <HLinks>
    <vt:vector size="18" baseType="variant">
      <vt:variant>
        <vt:i4>3473459</vt:i4>
      </vt:variant>
      <vt:variant>
        <vt:i4>6</vt:i4>
      </vt:variant>
      <vt:variant>
        <vt:i4>0</vt:i4>
      </vt:variant>
      <vt:variant>
        <vt:i4>5</vt:i4>
      </vt:variant>
      <vt:variant>
        <vt:lpwstr>https://dqbengland.org.uk/</vt:lpwstr>
      </vt:variant>
      <vt:variant>
        <vt:lpwstr/>
      </vt:variant>
      <vt:variant>
        <vt:i4>5832802</vt:i4>
      </vt:variant>
      <vt:variant>
        <vt:i4>3</vt:i4>
      </vt:variant>
      <vt:variant>
        <vt:i4>0</vt:i4>
      </vt:variant>
      <vt:variant>
        <vt:i4>5</vt:i4>
      </vt:variant>
      <vt:variant>
        <vt:lpwstr>https://ehea.info/media.ehea.info/file/WG_Frameworks_qualification/71/0/050218_QF_EHEA_580710.pdf</vt:lpwstr>
      </vt:variant>
      <vt:variant>
        <vt:lpwstr/>
      </vt:variant>
      <vt:variant>
        <vt:i4>3342346</vt:i4>
      </vt:variant>
      <vt:variant>
        <vt:i4>0</vt:i4>
      </vt:variant>
      <vt:variant>
        <vt:i4>0</vt:i4>
      </vt:variant>
      <vt:variant>
        <vt:i4>5</vt:i4>
      </vt:variant>
      <vt:variant>
        <vt:lpwstr>https://www.qaa.ac.uk/docs/qaa/guidance/educational-oversight-review-guidance-for-providers.pdf?sfvrsn=cf98bb81_7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2024-10-03T13:39:00Z</dcterms:created>
  <dcterms:modified xsi:type="dcterms:W3CDTF">2024-10-03T13:48:00Z</dcterms:modified>
</cp:coreProperties>
</file>